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8434" w14:textId="77777777" w:rsidR="00DE657A" w:rsidRDefault="00DE657A" w:rsidP="00DE657A">
      <w:pPr>
        <w:spacing w:line="240" w:lineRule="auto"/>
        <w:rPr>
          <w:rFonts w:ascii="Arial-BoldMT" w:hAnsi="Arial-BoldMT"/>
          <w:b/>
          <w:bCs/>
          <w:color w:val="000000"/>
          <w:szCs w:val="20"/>
          <w:lang w:val="sl-SI" w:eastAsia="sl-SI"/>
        </w:rPr>
      </w:pPr>
    </w:p>
    <w:p w14:paraId="0BC1DE48" w14:textId="77777777" w:rsidR="00DE657A" w:rsidRPr="00290A65" w:rsidRDefault="00DE657A" w:rsidP="007D75CF">
      <w:pPr>
        <w:rPr>
          <w:lang w:val="sl-SI"/>
        </w:rPr>
      </w:pPr>
    </w:p>
    <w:p w14:paraId="700507BC" w14:textId="77777777" w:rsidR="00DE657A" w:rsidRPr="00290A65" w:rsidRDefault="00DE657A" w:rsidP="007D75CF">
      <w:pPr>
        <w:rPr>
          <w:lang w:val="sl-SI"/>
        </w:rPr>
      </w:pPr>
    </w:p>
    <w:p w14:paraId="56EB5724" w14:textId="37B359C4" w:rsidR="007D75CF" w:rsidRPr="00290A65" w:rsidRDefault="00000000" w:rsidP="00DC6A71">
      <w:pPr>
        <w:pStyle w:val="ZADEVA"/>
        <w:rPr>
          <w:lang w:val="sl-SI"/>
        </w:rPr>
      </w:pPr>
      <w:bookmarkStart w:id="0" w:name="_Hlk216264389"/>
      <w:r w:rsidRPr="00290A65">
        <w:rPr>
          <w:lang w:val="sl-SI"/>
        </w:rPr>
        <w:t xml:space="preserve">Zadeva: </w:t>
      </w:r>
      <w:r w:rsidRPr="00290A65">
        <w:rPr>
          <w:lang w:val="sl-SI"/>
        </w:rPr>
        <w:tab/>
      </w:r>
      <w:bookmarkStart w:id="1" w:name="OpisDokumenta"/>
      <w:r w:rsidR="009B0547" w:rsidRPr="00290A65">
        <w:rPr>
          <w:lang w:val="sl-SI"/>
        </w:rPr>
        <w:t xml:space="preserve">Preverjanje dovoljenj v okviru mehanizma za ogljično prilagoditev na mejah (CBAM) v carinskem enotnem okencu </w:t>
      </w:r>
      <w:r w:rsidRPr="00290A65">
        <w:rPr>
          <w:lang w:val="sl-SI"/>
        </w:rPr>
        <w:t>EU CSW CERTEX</w:t>
      </w:r>
      <w:bookmarkEnd w:id="1"/>
    </w:p>
    <w:bookmarkEnd w:id="0"/>
    <w:p w14:paraId="36A4580F" w14:textId="77777777" w:rsidR="009B0547" w:rsidRPr="00290A65" w:rsidRDefault="009B0547" w:rsidP="00DC6A71">
      <w:pPr>
        <w:pStyle w:val="ZADEVA"/>
        <w:rPr>
          <w:lang w:val="sl-SI"/>
        </w:rPr>
      </w:pPr>
    </w:p>
    <w:p w14:paraId="110BD867" w14:textId="77777777" w:rsidR="009B0547" w:rsidRPr="00290A65" w:rsidRDefault="009B0547" w:rsidP="00DC6A71">
      <w:pPr>
        <w:pStyle w:val="ZADEVA"/>
        <w:rPr>
          <w:lang w:val="sl-SI"/>
        </w:rPr>
      </w:pPr>
    </w:p>
    <w:p w14:paraId="47BF541D" w14:textId="5503911F" w:rsidR="008413CB" w:rsidRPr="00290A65" w:rsidRDefault="00144184" w:rsidP="00080EFD">
      <w:pPr>
        <w:jc w:val="both"/>
        <w:rPr>
          <w:rFonts w:cs="Arial"/>
          <w:szCs w:val="20"/>
          <w:lang w:val="sl-SI"/>
        </w:rPr>
      </w:pPr>
      <w:r w:rsidRPr="00290A65">
        <w:rPr>
          <w:lang w:val="sl-SI"/>
        </w:rPr>
        <w:t>Obveščamo vas</w:t>
      </w:r>
      <w:r w:rsidRPr="00290A65">
        <w:rPr>
          <w:rFonts w:cs="Arial"/>
          <w:szCs w:val="20"/>
          <w:lang w:val="sl-SI"/>
        </w:rPr>
        <w:t xml:space="preserve">, da bomo s 1.1.2026 začeli s preverjanjem </w:t>
      </w:r>
      <w:r w:rsidR="00FC7B20">
        <w:rPr>
          <w:rFonts w:cs="Arial"/>
          <w:szCs w:val="20"/>
          <w:lang w:val="sl-SI"/>
        </w:rPr>
        <w:t xml:space="preserve">statusa </w:t>
      </w:r>
      <w:r w:rsidR="00143979">
        <w:rPr>
          <w:rFonts w:cs="Arial"/>
          <w:szCs w:val="20"/>
          <w:lang w:val="sl-SI"/>
        </w:rPr>
        <w:t xml:space="preserve">pooblaščenih deklarantov CBAM </w:t>
      </w:r>
      <w:r w:rsidR="00143979" w:rsidRPr="00290A65">
        <w:rPr>
          <w:rFonts w:cs="Arial"/>
          <w:szCs w:val="20"/>
          <w:lang w:val="sl-SI"/>
        </w:rPr>
        <w:t xml:space="preserve"> </w:t>
      </w:r>
      <w:r w:rsidRPr="00290A65">
        <w:rPr>
          <w:rFonts w:cs="Arial"/>
          <w:szCs w:val="20"/>
          <w:lang w:val="sl-SI"/>
        </w:rPr>
        <w:t xml:space="preserve">oz. </w:t>
      </w:r>
      <w:r w:rsidR="00143979">
        <w:rPr>
          <w:rFonts w:cs="Arial"/>
          <w:szCs w:val="20"/>
          <w:lang w:val="sl-SI"/>
        </w:rPr>
        <w:t xml:space="preserve">imetnikov </w:t>
      </w:r>
      <w:r w:rsidRPr="00290A65">
        <w:rPr>
          <w:rFonts w:cs="Arial"/>
          <w:szCs w:val="20"/>
          <w:lang w:val="sl-SI"/>
        </w:rPr>
        <w:t>dovoljenj CBAM v carinskem enotnem okencu EU CSW CERTEX</w:t>
      </w:r>
      <w:r w:rsidR="008413CB" w:rsidRPr="00290A65">
        <w:rPr>
          <w:rFonts w:cs="Arial"/>
          <w:szCs w:val="20"/>
          <w:lang w:val="sl-SI"/>
        </w:rPr>
        <w:t xml:space="preserve"> v skladu z:</w:t>
      </w:r>
    </w:p>
    <w:p w14:paraId="3E42E6B9" w14:textId="77777777" w:rsidR="008413CB" w:rsidRPr="00290A65" w:rsidRDefault="008413CB" w:rsidP="00080EFD">
      <w:pPr>
        <w:jc w:val="both"/>
        <w:rPr>
          <w:rFonts w:cs="Arial"/>
          <w:szCs w:val="20"/>
          <w:lang w:val="sl-SI"/>
        </w:rPr>
      </w:pPr>
    </w:p>
    <w:p w14:paraId="35D7028B" w14:textId="0C209DC7" w:rsidR="00144184" w:rsidRPr="00290A65" w:rsidRDefault="009B0547" w:rsidP="00080EFD">
      <w:pPr>
        <w:jc w:val="both"/>
        <w:rPr>
          <w:lang w:val="sl-SI"/>
        </w:rPr>
      </w:pPr>
      <w:r w:rsidRPr="00290A65">
        <w:rPr>
          <w:lang w:val="sl-SI"/>
        </w:rPr>
        <w:t>UREDBO (EU) 2023/956 EVROPSKEGA PARLAMENTA IN SVETA z dne 10. maja 2023 o vzpostavitvi mehanizma za ogljično prilagoditev na mejah</w:t>
      </w:r>
      <w:r w:rsidR="000D406D">
        <w:rPr>
          <w:lang w:val="sl-SI"/>
        </w:rPr>
        <w:t xml:space="preserve"> (v nadaljevanju uredba CBAM)</w:t>
      </w:r>
    </w:p>
    <w:p w14:paraId="72A8E8A0" w14:textId="77777777" w:rsidR="00144184" w:rsidRPr="00290A65" w:rsidRDefault="00144184" w:rsidP="00080EFD">
      <w:pPr>
        <w:jc w:val="both"/>
        <w:rPr>
          <w:lang w:val="sl-SI"/>
        </w:rPr>
      </w:pPr>
    </w:p>
    <w:p w14:paraId="041EAA6D" w14:textId="788549CD" w:rsidR="00144184" w:rsidRPr="00290A65" w:rsidRDefault="009B0547" w:rsidP="00080EFD">
      <w:pPr>
        <w:jc w:val="both"/>
        <w:rPr>
          <w:rFonts w:cs="Arial"/>
          <w:szCs w:val="20"/>
          <w:lang w:val="sl-SI"/>
        </w:rPr>
      </w:pPr>
      <w:r w:rsidRPr="00290A65">
        <w:rPr>
          <w:lang w:val="sl-SI"/>
        </w:rPr>
        <w:t xml:space="preserve"> </w:t>
      </w:r>
      <w:r w:rsidR="00514518" w:rsidRPr="00290A65">
        <w:rPr>
          <w:lang w:val="sl-SI"/>
        </w:rPr>
        <w:t>o</w:t>
      </w:r>
      <w:r w:rsidR="008413CB" w:rsidRPr="00290A65">
        <w:rPr>
          <w:lang w:val="sl-SI"/>
        </w:rPr>
        <w:t xml:space="preserve">ziroma </w:t>
      </w:r>
      <w:r w:rsidRPr="00290A65">
        <w:rPr>
          <w:lang w:val="sl-SI"/>
        </w:rPr>
        <w:t>v</w:t>
      </w:r>
      <w:r w:rsidRPr="00290A65">
        <w:rPr>
          <w:rFonts w:cs="Arial"/>
          <w:szCs w:val="20"/>
          <w:lang w:val="sl-SI"/>
        </w:rPr>
        <w:t xml:space="preserve"> skladu z</w:t>
      </w:r>
      <w:r w:rsidR="008413CB" w:rsidRPr="00290A65">
        <w:rPr>
          <w:rFonts w:cs="Arial"/>
          <w:szCs w:val="20"/>
          <w:lang w:val="sl-SI"/>
        </w:rPr>
        <w:t>:</w:t>
      </w:r>
      <w:r w:rsidRPr="00290A65">
        <w:rPr>
          <w:rFonts w:cs="Arial"/>
          <w:szCs w:val="20"/>
          <w:lang w:val="sl-SI"/>
        </w:rPr>
        <w:t xml:space="preserve"> </w:t>
      </w:r>
    </w:p>
    <w:p w14:paraId="78EF106D" w14:textId="77777777" w:rsidR="00144184" w:rsidRPr="00290A65" w:rsidRDefault="00144184" w:rsidP="00080EFD">
      <w:pPr>
        <w:jc w:val="both"/>
        <w:rPr>
          <w:rFonts w:cs="Arial"/>
          <w:szCs w:val="20"/>
          <w:lang w:val="sl-SI"/>
        </w:rPr>
      </w:pPr>
    </w:p>
    <w:p w14:paraId="294B82CA" w14:textId="4D7BE773" w:rsidR="00DE3FB4" w:rsidRPr="00290A65" w:rsidRDefault="009B0547" w:rsidP="00080EFD">
      <w:pPr>
        <w:jc w:val="both"/>
        <w:rPr>
          <w:rFonts w:cs="Arial"/>
          <w:szCs w:val="20"/>
          <w:lang w:val="sl-SI"/>
        </w:rPr>
      </w:pPr>
      <w:r w:rsidRPr="00290A65">
        <w:rPr>
          <w:rFonts w:cs="Arial"/>
          <w:szCs w:val="20"/>
          <w:lang w:val="sl-SI"/>
        </w:rPr>
        <w:t xml:space="preserve">UREDBO </w:t>
      </w:r>
      <w:r w:rsidRPr="00290A65">
        <w:rPr>
          <w:lang w:val="sl-SI"/>
        </w:rPr>
        <w:t xml:space="preserve">(EU) 2022/2399 EVROPSKEGA PARLAMENTA IN SVETA z dne 23. novembra 2022 o vzpostavitvi okolja enotnega okenca Evropske unije za carino in spremembi Uredbe (EU) št. 952/2013 (PRILOGA Del A) </w:t>
      </w:r>
    </w:p>
    <w:p w14:paraId="08D93A2D" w14:textId="77777777" w:rsidR="00DE3FB4" w:rsidRDefault="00DE3FB4" w:rsidP="009B0547">
      <w:pPr>
        <w:rPr>
          <w:rFonts w:cs="Arial"/>
          <w:szCs w:val="20"/>
          <w:lang w:val="sl-SI"/>
        </w:rPr>
      </w:pPr>
    </w:p>
    <w:p w14:paraId="3C566FAB" w14:textId="56FAEE11" w:rsidR="00FC7B20" w:rsidRDefault="00FC7B20" w:rsidP="00E24284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Na podlagi člena 25 </w:t>
      </w:r>
      <w:r w:rsidR="000D406D">
        <w:rPr>
          <w:rFonts w:cs="Arial"/>
          <w:szCs w:val="20"/>
          <w:lang w:val="sl-SI"/>
        </w:rPr>
        <w:t>u</w:t>
      </w:r>
      <w:r>
        <w:rPr>
          <w:rFonts w:cs="Arial"/>
          <w:szCs w:val="20"/>
          <w:lang w:val="sl-SI"/>
        </w:rPr>
        <w:t xml:space="preserve">redbe </w:t>
      </w:r>
      <w:r w:rsidR="000D406D">
        <w:rPr>
          <w:rFonts w:cs="Arial"/>
          <w:szCs w:val="20"/>
          <w:lang w:val="sl-SI"/>
        </w:rPr>
        <w:t xml:space="preserve">CBAM </w:t>
      </w:r>
      <w:r>
        <w:rPr>
          <w:rFonts w:cs="Arial"/>
          <w:szCs w:val="20"/>
          <w:lang w:val="sl-SI"/>
        </w:rPr>
        <w:t>carinski organi dovolijo uvoz blaga, navedenega v prilogi I k navedeni uredbi</w:t>
      </w:r>
      <w:r w:rsidR="000D406D">
        <w:rPr>
          <w:rFonts w:cs="Arial"/>
          <w:szCs w:val="20"/>
          <w:lang w:val="sl-SI"/>
        </w:rPr>
        <w:t xml:space="preserve"> (CBAM blago)</w:t>
      </w:r>
      <w:r>
        <w:rPr>
          <w:rFonts w:cs="Arial"/>
          <w:szCs w:val="20"/>
          <w:lang w:val="sl-SI"/>
        </w:rPr>
        <w:t>, le osebam, ki so pridobile status pooblaščenega deklaranta CBAM. Slednji ob pridobitvi zadevnega statusa pridobijo tudi edinstveno številko računa CBAM</w:t>
      </w:r>
      <w:r w:rsidR="008B4CCB">
        <w:rPr>
          <w:rFonts w:cs="Arial"/>
          <w:szCs w:val="20"/>
          <w:lang w:val="sl-SI"/>
        </w:rPr>
        <w:t>.</w:t>
      </w:r>
    </w:p>
    <w:p w14:paraId="14C4F84F" w14:textId="77777777" w:rsidR="00FC7B20" w:rsidRDefault="00FC7B20" w:rsidP="009B0547">
      <w:pPr>
        <w:rPr>
          <w:rFonts w:cs="Arial"/>
          <w:szCs w:val="20"/>
          <w:lang w:val="sl-SI"/>
        </w:rPr>
      </w:pPr>
    </w:p>
    <w:p w14:paraId="27012A68" w14:textId="2851C73C" w:rsidR="008B4CCB" w:rsidRDefault="008B4CCB" w:rsidP="00E24284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Za namene izvajanja nadzora je bil v aplikaciji TARIC kreiran nadzorni ukrep, ki zahteva vpis določene oznake v </w:t>
      </w:r>
      <w:r w:rsidRPr="005D6EBF">
        <w:rPr>
          <w:rFonts w:cs="Arial"/>
          <w:szCs w:val="20"/>
          <w:lang w:val="sl-SI"/>
        </w:rPr>
        <w:t>predpisan</w:t>
      </w:r>
      <w:r w:rsidR="00F16745" w:rsidRPr="005D6EBF">
        <w:rPr>
          <w:rFonts w:cs="Arial"/>
          <w:szCs w:val="20"/>
          <w:lang w:val="sl-SI"/>
        </w:rPr>
        <w:t xml:space="preserve"> podatkovni element c</w:t>
      </w:r>
      <w:r w:rsidRPr="005D6EBF">
        <w:rPr>
          <w:rFonts w:cs="Arial"/>
          <w:szCs w:val="20"/>
          <w:lang w:val="sl-SI"/>
        </w:rPr>
        <w:t>arinske</w:t>
      </w:r>
      <w:r>
        <w:rPr>
          <w:rFonts w:cs="Arial"/>
          <w:szCs w:val="20"/>
          <w:lang w:val="sl-SI"/>
        </w:rPr>
        <w:t xml:space="preserve"> deklaracije.</w:t>
      </w:r>
    </w:p>
    <w:p w14:paraId="7A0F6BC6" w14:textId="77777777" w:rsidR="008B4CCB" w:rsidRPr="00290A65" w:rsidRDefault="008B4CCB" w:rsidP="009B0547">
      <w:pPr>
        <w:rPr>
          <w:rFonts w:cs="Arial"/>
          <w:szCs w:val="20"/>
          <w:lang w:val="sl-SI"/>
        </w:rPr>
      </w:pPr>
    </w:p>
    <w:p w14:paraId="0694E764" w14:textId="04E33DF0" w:rsidR="007D77FC" w:rsidRDefault="00080EFD" w:rsidP="009B0547">
      <w:pPr>
        <w:rPr>
          <w:rFonts w:cs="Arial"/>
          <w:b/>
          <w:bCs/>
          <w:szCs w:val="20"/>
          <w:lang w:val="sl-SI"/>
        </w:rPr>
      </w:pPr>
      <w:bookmarkStart w:id="2" w:name="_Hlk216724079"/>
      <w:r w:rsidRPr="00290A65">
        <w:rPr>
          <w:rFonts w:cs="Arial"/>
          <w:b/>
          <w:bCs/>
          <w:szCs w:val="20"/>
          <w:lang w:val="sl-SI"/>
        </w:rPr>
        <w:t>TARIC oznake</w:t>
      </w:r>
      <w:r w:rsidR="008B4CCB">
        <w:rPr>
          <w:rFonts w:cs="Arial"/>
          <w:b/>
          <w:bCs/>
          <w:szCs w:val="20"/>
          <w:lang w:val="sl-SI"/>
        </w:rPr>
        <w:t>, ki se uporabljajo pri nadzornem ukrepu</w:t>
      </w:r>
      <w:r w:rsidRPr="00290A65">
        <w:rPr>
          <w:rFonts w:cs="Arial"/>
          <w:b/>
          <w:bCs/>
          <w:szCs w:val="20"/>
          <w:lang w:val="sl-SI"/>
        </w:rPr>
        <w:t xml:space="preserve"> za CBAM blago</w:t>
      </w:r>
    </w:p>
    <w:bookmarkEnd w:id="2"/>
    <w:p w14:paraId="6760FA5B" w14:textId="77777777" w:rsidR="00F16745" w:rsidRDefault="00F16745" w:rsidP="009B0547">
      <w:pPr>
        <w:rPr>
          <w:rFonts w:cs="Arial"/>
          <w:b/>
          <w:bCs/>
          <w:szCs w:val="20"/>
          <w:lang w:val="sl-SI"/>
        </w:rPr>
      </w:pPr>
    </w:p>
    <w:p w14:paraId="2CF7F333" w14:textId="77777777" w:rsidR="00F16745" w:rsidRDefault="00F16745" w:rsidP="009B0547">
      <w:pPr>
        <w:rPr>
          <w:rFonts w:cs="Arial"/>
          <w:b/>
          <w:bCs/>
          <w:szCs w:val="20"/>
          <w:lang w:val="sl-SI"/>
        </w:rPr>
      </w:pPr>
    </w:p>
    <w:tbl>
      <w:tblPr>
        <w:tblStyle w:val="Tabelamrea2"/>
        <w:tblW w:w="0" w:type="auto"/>
        <w:tblLook w:val="04A0" w:firstRow="1" w:lastRow="0" w:firstColumn="1" w:lastColumn="0" w:noHBand="0" w:noVBand="1"/>
      </w:tblPr>
      <w:tblGrid>
        <w:gridCol w:w="1680"/>
        <w:gridCol w:w="7241"/>
      </w:tblGrid>
      <w:tr w:rsidR="00F16745" w:rsidRPr="00290A65" w14:paraId="01A2D579" w14:textId="77777777" w:rsidTr="00184E0B">
        <w:trPr>
          <w:trHeight w:val="459"/>
        </w:trPr>
        <w:tc>
          <w:tcPr>
            <w:tcW w:w="1696" w:type="dxa"/>
          </w:tcPr>
          <w:p w14:paraId="19F8008E" w14:textId="77777777" w:rsidR="00F16745" w:rsidRPr="00290A65" w:rsidRDefault="00F16745" w:rsidP="00184E0B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b/>
                <w:bCs/>
                <w:sz w:val="20"/>
                <w:szCs w:val="20"/>
                <w:lang w:val="sl-SI"/>
              </w:rPr>
              <w:t>TARIC oznaka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potrdila</w:t>
            </w:r>
          </w:p>
        </w:tc>
        <w:tc>
          <w:tcPr>
            <w:tcW w:w="7366" w:type="dxa"/>
          </w:tcPr>
          <w:p w14:paraId="5A3A1775" w14:textId="4060E7B5" w:rsidR="00F16745" w:rsidRPr="00290A65" w:rsidRDefault="00F16745" w:rsidP="00184E0B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Opis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potrdila</w:t>
            </w:r>
          </w:p>
        </w:tc>
      </w:tr>
      <w:tr w:rsidR="00F16745" w:rsidRPr="00DA337D" w14:paraId="57CC9B13" w14:textId="77777777" w:rsidTr="00496851">
        <w:trPr>
          <w:trHeight w:val="454"/>
        </w:trPr>
        <w:tc>
          <w:tcPr>
            <w:tcW w:w="1696" w:type="dxa"/>
          </w:tcPr>
          <w:p w14:paraId="5EE440FF" w14:textId="77777777" w:rsidR="00F16745" w:rsidRPr="00290A65" w:rsidRDefault="00F16745" w:rsidP="00184E0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Y128</w:t>
            </w:r>
          </w:p>
        </w:tc>
        <w:tc>
          <w:tcPr>
            <w:tcW w:w="7366" w:type="dxa"/>
          </w:tcPr>
          <w:p w14:paraId="759E5FC2" w14:textId="77777777" w:rsidR="00F16745" w:rsidRPr="00290A65" w:rsidRDefault="00F16745" w:rsidP="00184E0B">
            <w:pPr>
              <w:spacing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 xml:space="preserve">Številka računa CBAM </w:t>
            </w:r>
          </w:p>
        </w:tc>
      </w:tr>
      <w:tr w:rsidR="00F16745" w:rsidRPr="00290A65" w14:paraId="4443107D" w14:textId="77777777" w:rsidTr="00496851">
        <w:trPr>
          <w:trHeight w:val="454"/>
        </w:trPr>
        <w:tc>
          <w:tcPr>
            <w:tcW w:w="1696" w:type="dxa"/>
          </w:tcPr>
          <w:p w14:paraId="5F65FCA5" w14:textId="77777777" w:rsidR="00F16745" w:rsidRPr="00290A65" w:rsidRDefault="00F16745" w:rsidP="00184E0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Y134</w:t>
            </w:r>
          </w:p>
        </w:tc>
        <w:tc>
          <w:tcPr>
            <w:tcW w:w="7366" w:type="dxa"/>
          </w:tcPr>
          <w:p w14:paraId="669A307D" w14:textId="77777777" w:rsidR="00F16745" w:rsidRPr="00290A65" w:rsidRDefault="00F16745" w:rsidP="00184E0B">
            <w:pPr>
              <w:spacing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Blago s poreklom iz Büsingena, Helgolanda ali Livigna (člen 2</w:t>
            </w:r>
            <w:r>
              <w:rPr>
                <w:rFonts w:cs="Arial"/>
                <w:sz w:val="20"/>
                <w:szCs w:val="20"/>
                <w:lang w:val="sl-SI"/>
              </w:rPr>
              <w:t>(</w:t>
            </w:r>
            <w:r w:rsidRPr="00290A65">
              <w:rPr>
                <w:rFonts w:cs="Arial"/>
                <w:sz w:val="20"/>
                <w:szCs w:val="20"/>
                <w:lang w:val="sl-SI"/>
              </w:rPr>
              <w:t>4</w:t>
            </w:r>
            <w:r>
              <w:rPr>
                <w:rFonts w:cs="Arial"/>
                <w:sz w:val="20"/>
                <w:szCs w:val="20"/>
                <w:lang w:val="sl-SI"/>
              </w:rPr>
              <w:t>)</w:t>
            </w:r>
            <w:r w:rsidRPr="00290A65">
              <w:rPr>
                <w:rFonts w:cs="Arial"/>
                <w:sz w:val="20"/>
                <w:szCs w:val="20"/>
                <w:lang w:val="sl-SI"/>
              </w:rPr>
              <w:t xml:space="preserve"> Uredbe (EU) 2023/956)</w:t>
            </w:r>
          </w:p>
        </w:tc>
      </w:tr>
      <w:tr w:rsidR="00F16745" w:rsidRPr="00825B77" w14:paraId="4A0D5444" w14:textId="77777777" w:rsidTr="00496851">
        <w:trPr>
          <w:trHeight w:val="454"/>
        </w:trPr>
        <w:tc>
          <w:tcPr>
            <w:tcW w:w="1696" w:type="dxa"/>
          </w:tcPr>
          <w:p w14:paraId="5BDC6686" w14:textId="77777777" w:rsidR="00F16745" w:rsidRPr="00290A65" w:rsidRDefault="00F16745" w:rsidP="00184E0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Y135</w:t>
            </w:r>
          </w:p>
        </w:tc>
        <w:tc>
          <w:tcPr>
            <w:tcW w:w="7366" w:type="dxa"/>
          </w:tcPr>
          <w:p w14:paraId="3155F7B9" w14:textId="77777777" w:rsidR="00F16745" w:rsidRPr="00290A65" w:rsidRDefault="00F16745" w:rsidP="00184E0B">
            <w:pPr>
              <w:spacing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190354">
              <w:rPr>
                <w:rFonts w:cs="Arial"/>
                <w:sz w:val="20"/>
                <w:szCs w:val="20"/>
                <w:lang w:val="sl-SI"/>
              </w:rPr>
              <w:t>Izvzetje na podlagi člena 2(3) Uredbe (EU) 2023/956</w:t>
            </w:r>
          </w:p>
        </w:tc>
      </w:tr>
      <w:tr w:rsidR="00F16745" w:rsidRPr="00825B77" w14:paraId="230B22AB" w14:textId="77777777" w:rsidTr="00496851">
        <w:trPr>
          <w:trHeight w:val="454"/>
        </w:trPr>
        <w:tc>
          <w:tcPr>
            <w:tcW w:w="1696" w:type="dxa"/>
          </w:tcPr>
          <w:p w14:paraId="7C66894B" w14:textId="77777777" w:rsidR="00F16745" w:rsidRPr="00290A65" w:rsidRDefault="00F16745" w:rsidP="00184E0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Y136</w:t>
            </w:r>
          </w:p>
        </w:tc>
        <w:tc>
          <w:tcPr>
            <w:tcW w:w="7366" w:type="dxa"/>
          </w:tcPr>
          <w:p w14:paraId="04AE053A" w14:textId="77777777" w:rsidR="00F16745" w:rsidRPr="00290A65" w:rsidRDefault="00F16745" w:rsidP="00184E0B">
            <w:pPr>
              <w:spacing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190354">
              <w:rPr>
                <w:rFonts w:cs="Arial"/>
                <w:sz w:val="20"/>
                <w:szCs w:val="20"/>
                <w:lang w:val="sl-SI"/>
              </w:rPr>
              <w:t>Izvzetje na podlagi člena 2(3a) Uredbe (EU) 2023/956</w:t>
            </w:r>
          </w:p>
        </w:tc>
      </w:tr>
      <w:tr w:rsidR="00F16745" w:rsidRPr="00825B77" w14:paraId="3A7FB450" w14:textId="77777777" w:rsidTr="00496851">
        <w:trPr>
          <w:trHeight w:val="454"/>
        </w:trPr>
        <w:tc>
          <w:tcPr>
            <w:tcW w:w="1696" w:type="dxa"/>
          </w:tcPr>
          <w:p w14:paraId="7D3DAE1E" w14:textId="77777777" w:rsidR="00F16745" w:rsidRPr="00290A65" w:rsidRDefault="00F16745" w:rsidP="00184E0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Y137</w:t>
            </w:r>
          </w:p>
        </w:tc>
        <w:tc>
          <w:tcPr>
            <w:tcW w:w="7366" w:type="dxa"/>
          </w:tcPr>
          <w:p w14:paraId="424DB759" w14:textId="77777777" w:rsidR="00F16745" w:rsidRPr="00290A65" w:rsidRDefault="00F16745" w:rsidP="00184E0B">
            <w:pPr>
              <w:spacing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190354">
              <w:rPr>
                <w:rFonts w:cs="Arial"/>
                <w:sz w:val="20"/>
                <w:szCs w:val="20"/>
                <w:lang w:val="sl-SI"/>
              </w:rPr>
              <w:t>Izvzetje na podlagi člena 2a Uredbe (EU) 2023/956</w:t>
            </w:r>
          </w:p>
        </w:tc>
      </w:tr>
      <w:tr w:rsidR="00F16745" w:rsidRPr="00290A65" w14:paraId="70082C32" w14:textId="77777777" w:rsidTr="00496851">
        <w:trPr>
          <w:trHeight w:val="454"/>
        </w:trPr>
        <w:tc>
          <w:tcPr>
            <w:tcW w:w="1696" w:type="dxa"/>
          </w:tcPr>
          <w:p w14:paraId="503538E1" w14:textId="77777777" w:rsidR="00F16745" w:rsidRPr="00290A65" w:rsidRDefault="00F16745" w:rsidP="00184E0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Y237</w:t>
            </w:r>
          </w:p>
        </w:tc>
        <w:tc>
          <w:tcPr>
            <w:tcW w:w="7366" w:type="dxa"/>
          </w:tcPr>
          <w:p w14:paraId="24D3E515" w14:textId="77777777" w:rsidR="00F16745" w:rsidRPr="00290A65" w:rsidRDefault="00F16745" w:rsidP="00184E0B">
            <w:pPr>
              <w:spacing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Blago s poreklom iz EU</w:t>
            </w:r>
          </w:p>
        </w:tc>
      </w:tr>
      <w:tr w:rsidR="00F16745" w:rsidRPr="00825B77" w14:paraId="4320F242" w14:textId="77777777" w:rsidTr="00496851">
        <w:trPr>
          <w:trHeight w:val="454"/>
        </w:trPr>
        <w:tc>
          <w:tcPr>
            <w:tcW w:w="1696" w:type="dxa"/>
          </w:tcPr>
          <w:p w14:paraId="049464A4" w14:textId="77777777" w:rsidR="00F16745" w:rsidRPr="00290A65" w:rsidRDefault="00F16745" w:rsidP="00184E0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Y238</w:t>
            </w:r>
          </w:p>
        </w:tc>
        <w:tc>
          <w:tcPr>
            <w:tcW w:w="7366" w:type="dxa"/>
          </w:tcPr>
          <w:p w14:paraId="4BE59F66" w14:textId="77777777" w:rsidR="00F16745" w:rsidRPr="00290A65" w:rsidRDefault="00F16745" w:rsidP="00184E0B">
            <w:pPr>
              <w:spacing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190354">
              <w:rPr>
                <w:rFonts w:cs="Arial"/>
                <w:sz w:val="20"/>
                <w:szCs w:val="20"/>
                <w:lang w:val="sl-SI"/>
              </w:rPr>
              <w:t>Zahtevek za pridobitev statusa pooblaščenega deklaranta CBAM je bil vložen do 31. marca 2026</w:t>
            </w:r>
          </w:p>
        </w:tc>
      </w:tr>
    </w:tbl>
    <w:p w14:paraId="265298F4" w14:textId="77777777" w:rsidR="00F16745" w:rsidRDefault="00F16745" w:rsidP="009B0547">
      <w:pPr>
        <w:rPr>
          <w:rFonts w:cs="Arial"/>
          <w:b/>
          <w:bCs/>
          <w:szCs w:val="20"/>
          <w:lang w:val="sl-SI"/>
        </w:rPr>
      </w:pPr>
    </w:p>
    <w:p w14:paraId="5BC0BE5B" w14:textId="77777777" w:rsidR="00C47A63" w:rsidRDefault="00C47A63" w:rsidP="00837ABB">
      <w:pPr>
        <w:rPr>
          <w:rFonts w:cs="Arial"/>
          <w:b/>
          <w:bCs/>
          <w:szCs w:val="20"/>
          <w:lang w:val="sl-SI"/>
        </w:rPr>
      </w:pPr>
    </w:p>
    <w:p w14:paraId="15EAD0DD" w14:textId="77777777" w:rsidR="00B7471A" w:rsidRDefault="00B7471A" w:rsidP="00837ABB">
      <w:pPr>
        <w:rPr>
          <w:rFonts w:cs="Arial"/>
          <w:b/>
          <w:bCs/>
          <w:szCs w:val="20"/>
          <w:lang w:val="sl-SI"/>
        </w:rPr>
      </w:pPr>
    </w:p>
    <w:p w14:paraId="07695709" w14:textId="77777777" w:rsidR="00B7471A" w:rsidRDefault="00B7471A" w:rsidP="00837ABB">
      <w:pPr>
        <w:rPr>
          <w:rFonts w:cs="Arial"/>
          <w:b/>
          <w:bCs/>
          <w:szCs w:val="20"/>
          <w:lang w:val="sl-SI"/>
        </w:rPr>
      </w:pPr>
    </w:p>
    <w:p w14:paraId="4F016054" w14:textId="56BB249E" w:rsidR="00C71F64" w:rsidRDefault="00C71F64" w:rsidP="00C71F64">
      <w:pPr>
        <w:rPr>
          <w:rFonts w:cs="Arial"/>
          <w:b/>
          <w:bCs/>
          <w:szCs w:val="20"/>
          <w:lang w:val="sl-SI"/>
        </w:rPr>
      </w:pPr>
      <w:r w:rsidRPr="00290A65">
        <w:rPr>
          <w:rFonts w:cs="Arial"/>
          <w:b/>
          <w:bCs/>
          <w:szCs w:val="20"/>
          <w:lang w:val="sl-SI"/>
        </w:rPr>
        <w:lastRenderedPageBreak/>
        <w:t>TARIC oznake</w:t>
      </w:r>
      <w:r>
        <w:rPr>
          <w:rFonts w:cs="Arial"/>
          <w:b/>
          <w:bCs/>
          <w:szCs w:val="20"/>
          <w:lang w:val="sl-SI"/>
        </w:rPr>
        <w:t>, ki se uporabljajo pri nadzornem ukrepu</w:t>
      </w:r>
      <w:r w:rsidRPr="00290A65">
        <w:rPr>
          <w:rFonts w:cs="Arial"/>
          <w:b/>
          <w:bCs/>
          <w:szCs w:val="20"/>
          <w:lang w:val="sl-SI"/>
        </w:rPr>
        <w:t xml:space="preserve"> za CBAM blago</w:t>
      </w:r>
      <w:r>
        <w:rPr>
          <w:rFonts w:cs="Arial"/>
          <w:b/>
          <w:bCs/>
          <w:szCs w:val="20"/>
          <w:lang w:val="sl-SI"/>
        </w:rPr>
        <w:t xml:space="preserve"> – Dodatni opis</w:t>
      </w:r>
    </w:p>
    <w:p w14:paraId="10243FB2" w14:textId="77777777" w:rsidR="00C47A63" w:rsidRDefault="00C47A63" w:rsidP="00837ABB">
      <w:pPr>
        <w:rPr>
          <w:rFonts w:cs="Arial"/>
          <w:b/>
          <w:bCs/>
          <w:szCs w:val="20"/>
          <w:lang w:val="sl-SI"/>
        </w:rPr>
      </w:pPr>
    </w:p>
    <w:p w14:paraId="0AE9CBC9" w14:textId="77777777" w:rsidR="00496851" w:rsidRDefault="00496851" w:rsidP="00837ABB">
      <w:pPr>
        <w:rPr>
          <w:rFonts w:cs="Arial"/>
          <w:b/>
          <w:bCs/>
          <w:szCs w:val="20"/>
          <w:lang w:val="sl-SI"/>
        </w:rPr>
      </w:pPr>
    </w:p>
    <w:tbl>
      <w:tblPr>
        <w:tblStyle w:val="Tabelamrea3"/>
        <w:tblW w:w="0" w:type="auto"/>
        <w:tblLook w:val="04A0" w:firstRow="1" w:lastRow="0" w:firstColumn="1" w:lastColumn="0" w:noHBand="0" w:noVBand="1"/>
      </w:tblPr>
      <w:tblGrid>
        <w:gridCol w:w="1696"/>
        <w:gridCol w:w="7225"/>
      </w:tblGrid>
      <w:tr w:rsidR="00C47A63" w:rsidRPr="00B26505" w14:paraId="6168914A" w14:textId="77777777" w:rsidTr="00C71F64">
        <w:trPr>
          <w:trHeight w:val="454"/>
        </w:trPr>
        <w:tc>
          <w:tcPr>
            <w:tcW w:w="1696" w:type="dxa"/>
          </w:tcPr>
          <w:p w14:paraId="78A12AD9" w14:textId="77777777" w:rsidR="00C47A63" w:rsidRPr="005D6EBF" w:rsidRDefault="00C47A63" w:rsidP="00B304D6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5D6EBF">
              <w:rPr>
                <w:rFonts w:cs="Arial"/>
                <w:b/>
                <w:bCs/>
                <w:sz w:val="20"/>
                <w:szCs w:val="20"/>
                <w:lang w:val="sl-SI"/>
              </w:rPr>
              <w:t>TARIC oznaka</w:t>
            </w:r>
          </w:p>
          <w:p w14:paraId="59F5C48F" w14:textId="77777777" w:rsidR="00C47A63" w:rsidRPr="005D6EBF" w:rsidRDefault="00C47A63" w:rsidP="00B304D6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5D6EB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potrdila</w:t>
            </w:r>
          </w:p>
        </w:tc>
        <w:tc>
          <w:tcPr>
            <w:tcW w:w="7225" w:type="dxa"/>
          </w:tcPr>
          <w:p w14:paraId="44829A5C" w14:textId="3786B07E" w:rsidR="00C47A63" w:rsidRPr="005D6EBF" w:rsidRDefault="00C47A63" w:rsidP="00B304D6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5D6EB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Dodatni opis </w:t>
            </w:r>
          </w:p>
        </w:tc>
      </w:tr>
      <w:tr w:rsidR="00C47A63" w:rsidRPr="00825B77" w14:paraId="6D40E329" w14:textId="77777777" w:rsidTr="00C71F64">
        <w:trPr>
          <w:trHeight w:val="454"/>
        </w:trPr>
        <w:tc>
          <w:tcPr>
            <w:tcW w:w="1696" w:type="dxa"/>
          </w:tcPr>
          <w:p w14:paraId="039AA3DF" w14:textId="77777777" w:rsidR="00C47A63" w:rsidRPr="005D6EBF" w:rsidRDefault="00C47A63" w:rsidP="00B304D6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5D6EBF">
              <w:rPr>
                <w:rFonts w:cs="Arial"/>
                <w:sz w:val="20"/>
                <w:szCs w:val="20"/>
                <w:lang w:val="sl-SI"/>
              </w:rPr>
              <w:t>Y128</w:t>
            </w:r>
          </w:p>
        </w:tc>
        <w:tc>
          <w:tcPr>
            <w:tcW w:w="7225" w:type="dxa"/>
          </w:tcPr>
          <w:p w14:paraId="5E8D4946" w14:textId="5E2B0C9B" w:rsidR="00C47A63" w:rsidRPr="005D6EBF" w:rsidRDefault="00C47A63" w:rsidP="00B304D6">
            <w:pPr>
              <w:spacing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5D6EBF">
              <w:rPr>
                <w:rFonts w:cs="Arial"/>
                <w:sz w:val="20"/>
                <w:szCs w:val="20"/>
                <w:lang w:val="sl-SI"/>
              </w:rPr>
              <w:t xml:space="preserve">Številka računa pooblaščenega deklaranta CBAM  </w:t>
            </w:r>
            <w:r w:rsidR="00C71F64" w:rsidRPr="005D6EBF">
              <w:rPr>
                <w:rFonts w:cs="Arial"/>
                <w:sz w:val="20"/>
                <w:szCs w:val="20"/>
                <w:lang w:val="sl-SI"/>
              </w:rPr>
              <w:t>(</w:t>
            </w:r>
            <w:r w:rsidRPr="005D6EBF">
              <w:rPr>
                <w:rFonts w:cs="Arial"/>
                <w:sz w:val="20"/>
                <w:szCs w:val="20"/>
                <w:lang w:val="sl-SI"/>
              </w:rPr>
              <w:t>dovoljenje CBAM je bilo izdano uvozniku ali  posrednemu carinskemu zastopniku</w:t>
            </w:r>
            <w:r w:rsidR="00C71F64" w:rsidRPr="005D6EBF">
              <w:rPr>
                <w:rFonts w:cs="Arial"/>
                <w:sz w:val="20"/>
                <w:szCs w:val="20"/>
                <w:lang w:val="sl-SI"/>
              </w:rPr>
              <w:t>)</w:t>
            </w:r>
          </w:p>
        </w:tc>
      </w:tr>
      <w:tr w:rsidR="00C47A63" w:rsidRPr="00B26505" w14:paraId="7BBA081C" w14:textId="77777777" w:rsidTr="00C71F64">
        <w:trPr>
          <w:trHeight w:val="454"/>
        </w:trPr>
        <w:tc>
          <w:tcPr>
            <w:tcW w:w="1696" w:type="dxa"/>
          </w:tcPr>
          <w:p w14:paraId="429A7A7C" w14:textId="3E75A302" w:rsidR="00C47A63" w:rsidRPr="005D6EBF" w:rsidRDefault="00C47A63" w:rsidP="00C47A63">
            <w:pPr>
              <w:jc w:val="center"/>
              <w:rPr>
                <w:sz w:val="20"/>
                <w:szCs w:val="20"/>
              </w:rPr>
            </w:pPr>
            <w:r w:rsidRPr="005D6EBF">
              <w:rPr>
                <w:sz w:val="20"/>
                <w:szCs w:val="20"/>
              </w:rPr>
              <w:t>Y134</w:t>
            </w:r>
          </w:p>
        </w:tc>
        <w:tc>
          <w:tcPr>
            <w:tcW w:w="7225" w:type="dxa"/>
          </w:tcPr>
          <w:p w14:paraId="3B59B679" w14:textId="41FB4FC7" w:rsidR="00C47A63" w:rsidRPr="005D6EBF" w:rsidRDefault="00C47A63" w:rsidP="00C47A63">
            <w:pPr>
              <w:rPr>
                <w:sz w:val="20"/>
                <w:szCs w:val="20"/>
              </w:rPr>
            </w:pPr>
            <w:r w:rsidRPr="005D6EBF">
              <w:rPr>
                <w:sz w:val="20"/>
                <w:szCs w:val="20"/>
              </w:rPr>
              <w:t>Blago s poreklom iz Büsingena, Helgolanda ali Livigna (člen 2.4 Uredbe (EU) 2023/956)</w:t>
            </w:r>
          </w:p>
        </w:tc>
      </w:tr>
      <w:tr w:rsidR="00C47A63" w:rsidRPr="00825B77" w14:paraId="1CD9036C" w14:textId="77777777" w:rsidTr="00C71F64">
        <w:trPr>
          <w:trHeight w:val="454"/>
        </w:trPr>
        <w:tc>
          <w:tcPr>
            <w:tcW w:w="1696" w:type="dxa"/>
          </w:tcPr>
          <w:p w14:paraId="6D5788D6" w14:textId="77777777" w:rsidR="00C47A63" w:rsidRPr="005D6EBF" w:rsidRDefault="00C47A63" w:rsidP="00B304D6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5D6EBF">
              <w:rPr>
                <w:rFonts w:cs="Arial"/>
                <w:sz w:val="20"/>
                <w:szCs w:val="20"/>
                <w:lang w:val="sl-SI"/>
              </w:rPr>
              <w:t>Y135</w:t>
            </w:r>
          </w:p>
        </w:tc>
        <w:tc>
          <w:tcPr>
            <w:tcW w:w="7225" w:type="dxa"/>
          </w:tcPr>
          <w:p w14:paraId="52297E24" w14:textId="4F860F20" w:rsidR="00C47A63" w:rsidRPr="005D6EBF" w:rsidRDefault="00C47A63" w:rsidP="00B304D6">
            <w:pPr>
              <w:spacing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5D6EBF">
              <w:rPr>
                <w:rFonts w:cs="Arial"/>
                <w:sz w:val="20"/>
                <w:szCs w:val="20"/>
                <w:lang w:val="sl-SI"/>
              </w:rPr>
              <w:t>Izvzetje na podlagi člena 2(3) Uredbe (EU) 2023/956 (blago, ki se giblje ali uporablja v okviru vojaških aktivnosti)</w:t>
            </w:r>
          </w:p>
        </w:tc>
      </w:tr>
      <w:tr w:rsidR="00C47A63" w:rsidRPr="00825B77" w14:paraId="41FCA823" w14:textId="77777777" w:rsidTr="00C71F64">
        <w:trPr>
          <w:trHeight w:val="454"/>
        </w:trPr>
        <w:tc>
          <w:tcPr>
            <w:tcW w:w="1696" w:type="dxa"/>
          </w:tcPr>
          <w:p w14:paraId="4C64FFA1" w14:textId="77777777" w:rsidR="00C47A63" w:rsidRPr="005D6EBF" w:rsidRDefault="00C47A63" w:rsidP="00B304D6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5D6EBF">
              <w:rPr>
                <w:rFonts w:cs="Arial"/>
                <w:sz w:val="20"/>
                <w:szCs w:val="20"/>
                <w:lang w:val="sl-SI"/>
              </w:rPr>
              <w:t>Y136</w:t>
            </w:r>
          </w:p>
        </w:tc>
        <w:tc>
          <w:tcPr>
            <w:tcW w:w="7225" w:type="dxa"/>
          </w:tcPr>
          <w:p w14:paraId="59AFA292" w14:textId="11607738" w:rsidR="00C47A63" w:rsidRPr="005D6EBF" w:rsidRDefault="00C47A63" w:rsidP="00B304D6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5D6EBF">
              <w:rPr>
                <w:rFonts w:cs="Arial"/>
                <w:sz w:val="20"/>
                <w:szCs w:val="20"/>
                <w:lang w:val="sl-SI"/>
              </w:rPr>
              <w:t>Izvzetje na podlagi člena 2(3a) Uredbe (EU) 2023/956 (določena električna energija</w:t>
            </w:r>
            <w:r w:rsidR="007C2B4B" w:rsidRPr="005D6EBF">
              <w:rPr>
                <w:rFonts w:cs="Arial"/>
                <w:sz w:val="20"/>
                <w:szCs w:val="20"/>
                <w:lang w:val="sl-SI"/>
              </w:rPr>
              <w:t xml:space="preserve"> in vodik</w:t>
            </w:r>
            <w:r w:rsidRPr="005D6EBF">
              <w:rPr>
                <w:rFonts w:cs="Arial"/>
                <w:sz w:val="20"/>
                <w:szCs w:val="20"/>
                <w:lang w:val="sl-SI"/>
              </w:rPr>
              <w:t>)</w:t>
            </w:r>
          </w:p>
        </w:tc>
      </w:tr>
      <w:tr w:rsidR="00C47A63" w:rsidRPr="00825B77" w14:paraId="057B701C" w14:textId="77777777" w:rsidTr="00C71F64">
        <w:trPr>
          <w:trHeight w:val="454"/>
        </w:trPr>
        <w:tc>
          <w:tcPr>
            <w:tcW w:w="1696" w:type="dxa"/>
          </w:tcPr>
          <w:p w14:paraId="14CB0C2D" w14:textId="77777777" w:rsidR="00C47A63" w:rsidRPr="005D6EBF" w:rsidRDefault="00C47A63" w:rsidP="00B304D6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5D6EBF">
              <w:rPr>
                <w:rFonts w:cs="Arial"/>
                <w:sz w:val="20"/>
                <w:szCs w:val="20"/>
                <w:lang w:val="sl-SI"/>
              </w:rPr>
              <w:t>Y137</w:t>
            </w:r>
          </w:p>
        </w:tc>
        <w:tc>
          <w:tcPr>
            <w:tcW w:w="7225" w:type="dxa"/>
          </w:tcPr>
          <w:p w14:paraId="4C9EDC6F" w14:textId="615EBCDA" w:rsidR="00C47A63" w:rsidRPr="005D6EBF" w:rsidRDefault="00C71F64" w:rsidP="00B304D6">
            <w:pPr>
              <w:spacing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5D6EBF">
              <w:rPr>
                <w:rFonts w:cs="Arial"/>
                <w:sz w:val="20"/>
                <w:szCs w:val="20"/>
                <w:lang w:val="sl-SI"/>
              </w:rPr>
              <w:t>Izvzetje na podlagi člena 2a Uredbe (EU) 2023/956 (ne presega enotnega masnega praga)</w:t>
            </w:r>
            <w:r w:rsidR="00413815" w:rsidRPr="005D6EBF">
              <w:rPr>
                <w:rFonts w:cs="Arial"/>
                <w:sz w:val="20"/>
                <w:szCs w:val="20"/>
                <w:lang w:val="sl-SI"/>
              </w:rPr>
              <w:t>, uvoznik ni</w:t>
            </w:r>
            <w:r w:rsidR="005D6EBF">
              <w:rPr>
                <w:rFonts w:cs="Arial"/>
                <w:sz w:val="20"/>
                <w:szCs w:val="20"/>
                <w:lang w:val="sl-SI"/>
              </w:rPr>
              <w:t>ma statusa CBAM</w:t>
            </w:r>
            <w:r w:rsidR="00413815" w:rsidRPr="005D6EBF">
              <w:rPr>
                <w:rFonts w:cs="Arial"/>
                <w:sz w:val="20"/>
                <w:szCs w:val="20"/>
                <w:lang w:val="sl-SI"/>
              </w:rPr>
              <w:t>, ni zaprosil za dovoljenje, uvaža pa manj kot 50 ton blaga</w:t>
            </w:r>
            <w:r w:rsidR="007C2B4B" w:rsidRPr="005D6EBF">
              <w:rPr>
                <w:rFonts w:cs="Arial"/>
                <w:sz w:val="20"/>
                <w:szCs w:val="20"/>
                <w:lang w:val="sl-SI"/>
              </w:rPr>
              <w:t xml:space="preserve"> CBAM</w:t>
            </w:r>
            <w:r w:rsidR="00413815" w:rsidRPr="005D6EBF">
              <w:rPr>
                <w:rFonts w:cs="Arial"/>
                <w:sz w:val="20"/>
                <w:szCs w:val="20"/>
                <w:lang w:val="sl-SI"/>
              </w:rPr>
              <w:t xml:space="preserve"> v danem koledarskem letu</w:t>
            </w:r>
          </w:p>
        </w:tc>
      </w:tr>
      <w:tr w:rsidR="00C71F64" w:rsidRPr="00B26505" w14:paraId="2D04AC03" w14:textId="77777777" w:rsidTr="00C71F64">
        <w:trPr>
          <w:trHeight w:val="454"/>
        </w:trPr>
        <w:tc>
          <w:tcPr>
            <w:tcW w:w="1696" w:type="dxa"/>
          </w:tcPr>
          <w:p w14:paraId="62900C5F" w14:textId="613E603D" w:rsidR="00C71F64" w:rsidRPr="005D6EBF" w:rsidRDefault="00C71F64" w:rsidP="00C71F64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5D6EBF">
              <w:rPr>
                <w:rFonts w:cs="Arial"/>
                <w:sz w:val="20"/>
                <w:szCs w:val="20"/>
                <w:lang w:val="sl-SI"/>
              </w:rPr>
              <w:t>Y237</w:t>
            </w:r>
          </w:p>
        </w:tc>
        <w:tc>
          <w:tcPr>
            <w:tcW w:w="7225" w:type="dxa"/>
          </w:tcPr>
          <w:p w14:paraId="4B378C0D" w14:textId="30FEECD6" w:rsidR="00C71F64" w:rsidRPr="005D6EBF" w:rsidRDefault="00C71F64" w:rsidP="00C71F6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5D6EBF">
              <w:rPr>
                <w:rFonts w:cs="Arial"/>
                <w:sz w:val="20"/>
                <w:szCs w:val="20"/>
                <w:lang w:val="sl-SI"/>
              </w:rPr>
              <w:t>Blago s poreklom iz EU</w:t>
            </w:r>
          </w:p>
        </w:tc>
      </w:tr>
      <w:tr w:rsidR="00C71F64" w:rsidRPr="00825B77" w14:paraId="0B2E49FE" w14:textId="77777777" w:rsidTr="00C71F64">
        <w:trPr>
          <w:trHeight w:val="454"/>
        </w:trPr>
        <w:tc>
          <w:tcPr>
            <w:tcW w:w="1696" w:type="dxa"/>
          </w:tcPr>
          <w:p w14:paraId="6B889738" w14:textId="77777777" w:rsidR="00C71F64" w:rsidRPr="005D6EBF" w:rsidRDefault="00C71F64" w:rsidP="00C71F64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5D6EBF">
              <w:rPr>
                <w:rFonts w:cs="Arial"/>
                <w:sz w:val="20"/>
                <w:szCs w:val="20"/>
                <w:lang w:val="sl-SI"/>
              </w:rPr>
              <w:t>Y238</w:t>
            </w:r>
          </w:p>
        </w:tc>
        <w:tc>
          <w:tcPr>
            <w:tcW w:w="7225" w:type="dxa"/>
          </w:tcPr>
          <w:p w14:paraId="721E3042" w14:textId="79F1388B" w:rsidR="00C71F64" w:rsidRPr="005D6EBF" w:rsidRDefault="00C71F64" w:rsidP="00C71F64">
            <w:pPr>
              <w:spacing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5D6EBF">
              <w:rPr>
                <w:rFonts w:cs="Arial"/>
                <w:sz w:val="20"/>
                <w:szCs w:val="20"/>
                <w:lang w:val="sl-SI"/>
              </w:rPr>
              <w:t>Zahtevek za pridobitev statusa pooblaščenega deklaranta CBAM je bil vložen do 31. marca 2026</w:t>
            </w:r>
            <w:r w:rsidR="00413815" w:rsidRPr="005D6EBF">
              <w:rPr>
                <w:rFonts w:cs="Arial"/>
                <w:sz w:val="20"/>
                <w:szCs w:val="20"/>
                <w:lang w:val="sl-SI"/>
              </w:rPr>
              <w:t>, uvoznik še nima dovoljenja CBAM, vendar je pred uvozom zaprosil za dovoljenje</w:t>
            </w:r>
          </w:p>
        </w:tc>
      </w:tr>
    </w:tbl>
    <w:p w14:paraId="40302539" w14:textId="77777777" w:rsidR="00C47A63" w:rsidRDefault="00C47A63" w:rsidP="00837ABB">
      <w:pPr>
        <w:rPr>
          <w:rFonts w:cs="Arial"/>
          <w:b/>
          <w:bCs/>
          <w:szCs w:val="20"/>
          <w:lang w:val="sl-SI"/>
        </w:rPr>
      </w:pPr>
    </w:p>
    <w:p w14:paraId="197D9BA1" w14:textId="77777777" w:rsidR="007D77FC" w:rsidRPr="00290A65" w:rsidRDefault="007D77FC" w:rsidP="007D77FC">
      <w:pPr>
        <w:jc w:val="both"/>
        <w:rPr>
          <w:rFonts w:cs="Arial"/>
          <w:szCs w:val="20"/>
          <w:lang w:val="sl-SI"/>
        </w:rPr>
      </w:pPr>
    </w:p>
    <w:p w14:paraId="5E22933A" w14:textId="0B71F85F" w:rsidR="008413CB" w:rsidRPr="00290A65" w:rsidRDefault="008413CB" w:rsidP="008413CB">
      <w:pPr>
        <w:jc w:val="both"/>
        <w:rPr>
          <w:rFonts w:cs="Arial"/>
          <w:b/>
          <w:bCs/>
          <w:szCs w:val="20"/>
          <w:lang w:val="sl-SI"/>
        </w:rPr>
      </w:pPr>
      <w:r w:rsidRPr="00290A65">
        <w:rPr>
          <w:rFonts w:cs="Arial"/>
          <w:b/>
          <w:bCs/>
          <w:szCs w:val="20"/>
          <w:lang w:val="sl-SI"/>
        </w:rPr>
        <w:t xml:space="preserve">TARIC </w:t>
      </w:r>
      <w:r w:rsidR="000D406D">
        <w:rPr>
          <w:rFonts w:cs="Arial"/>
          <w:b/>
          <w:bCs/>
          <w:szCs w:val="20"/>
          <w:lang w:val="sl-SI"/>
        </w:rPr>
        <w:t xml:space="preserve">nadzorni </w:t>
      </w:r>
      <w:r w:rsidRPr="00290A65">
        <w:rPr>
          <w:rFonts w:cs="Arial"/>
          <w:b/>
          <w:bCs/>
          <w:szCs w:val="20"/>
          <w:lang w:val="sl-SI"/>
        </w:rPr>
        <w:t>ukrep</w:t>
      </w:r>
    </w:p>
    <w:p w14:paraId="6F76FE7F" w14:textId="77777777" w:rsidR="008413CB" w:rsidRPr="00290A65" w:rsidRDefault="008413CB" w:rsidP="008413CB">
      <w:pPr>
        <w:jc w:val="both"/>
        <w:rPr>
          <w:rFonts w:cs="Arial"/>
          <w:b/>
          <w:bCs/>
          <w:szCs w:val="20"/>
          <w:lang w:val="sl-SI"/>
        </w:rPr>
      </w:pPr>
    </w:p>
    <w:p w14:paraId="430E3397" w14:textId="2EE4E21F" w:rsidR="008413CB" w:rsidRPr="00290A65" w:rsidRDefault="000D406D" w:rsidP="008413CB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Pri</w:t>
      </w:r>
      <w:r w:rsidRPr="00290A65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uvozu </w:t>
      </w:r>
      <w:r w:rsidR="008413CB" w:rsidRPr="00290A65">
        <w:rPr>
          <w:rFonts w:cs="Arial"/>
          <w:szCs w:val="20"/>
          <w:lang w:val="sl-SI"/>
        </w:rPr>
        <w:t>CBAM blag</w:t>
      </w:r>
      <w:r>
        <w:rPr>
          <w:rFonts w:cs="Arial"/>
          <w:szCs w:val="20"/>
          <w:lang w:val="sl-SI"/>
        </w:rPr>
        <w:t>a</w:t>
      </w:r>
      <w:r w:rsidR="008413CB" w:rsidRPr="00290A65">
        <w:rPr>
          <w:rFonts w:cs="Arial"/>
          <w:szCs w:val="20"/>
          <w:lang w:val="sl-SI"/>
        </w:rPr>
        <w:t xml:space="preserve"> je potrebno vpisati </w:t>
      </w:r>
      <w:r w:rsidR="007C2B4B">
        <w:rPr>
          <w:rFonts w:cs="Arial"/>
          <w:szCs w:val="20"/>
          <w:lang w:val="sl-SI"/>
        </w:rPr>
        <w:t>oznako</w:t>
      </w:r>
      <w:r w:rsidR="007C2B4B" w:rsidRPr="00290A65">
        <w:rPr>
          <w:rFonts w:cs="Arial"/>
          <w:szCs w:val="20"/>
          <w:lang w:val="sl-SI"/>
        </w:rPr>
        <w:t xml:space="preserve"> </w:t>
      </w:r>
      <w:r w:rsidR="008413CB" w:rsidRPr="00290A65">
        <w:rPr>
          <w:rFonts w:cs="Arial"/>
          <w:szCs w:val="20"/>
          <w:lang w:val="sl-SI"/>
        </w:rPr>
        <w:t xml:space="preserve">Y128 ali eno od </w:t>
      </w:r>
      <w:r w:rsidR="007C2B4B">
        <w:rPr>
          <w:rFonts w:cs="Arial"/>
          <w:szCs w:val="20"/>
          <w:lang w:val="sl-SI"/>
        </w:rPr>
        <w:t>oznak</w:t>
      </w:r>
      <w:r w:rsidR="008413CB" w:rsidRPr="00290A65">
        <w:rPr>
          <w:rFonts w:cs="Arial"/>
          <w:szCs w:val="20"/>
          <w:lang w:val="sl-SI"/>
        </w:rPr>
        <w:t xml:space="preserve"> za izjemo Y134, Y135, Y136, Y137, Y237 ali Y238, sicer se </w:t>
      </w:r>
      <w:r w:rsidR="00DA337D">
        <w:rPr>
          <w:rFonts w:cs="Arial"/>
          <w:szCs w:val="20"/>
          <w:lang w:val="sl-SI"/>
        </w:rPr>
        <w:t xml:space="preserve">na podlagi zadevnega TARIC ukrepa (775) </w:t>
      </w:r>
      <w:r w:rsidR="008413CB" w:rsidRPr="00290A65">
        <w:rPr>
          <w:rFonts w:cs="Arial"/>
          <w:szCs w:val="20"/>
          <w:lang w:val="sl-SI"/>
        </w:rPr>
        <w:t>proži poslovno pravilo SPP 100194, ki zavrne uvozno deklaracijo z opisom napake, da uvoz ni dovoljen, ker ni predložen dokument/izjava: Y128, Y134, Y135, Y136, Y137, Y237, Y238. Iz ukrepa 775 so izvzete države</w:t>
      </w:r>
      <w:r w:rsidR="002D6D7C">
        <w:rPr>
          <w:rFonts w:cs="Arial"/>
          <w:szCs w:val="20"/>
          <w:lang w:val="sl-SI"/>
        </w:rPr>
        <w:t xml:space="preserve"> in </w:t>
      </w:r>
      <w:r w:rsidR="002D6D7C" w:rsidRPr="00BF418B">
        <w:rPr>
          <w:rFonts w:cs="Arial"/>
          <w:szCs w:val="20"/>
          <w:lang w:val="sl-SI"/>
        </w:rPr>
        <w:t>ozemlja</w:t>
      </w:r>
      <w:r w:rsidR="008413CB" w:rsidRPr="00BF418B">
        <w:rPr>
          <w:rFonts w:cs="Arial"/>
          <w:szCs w:val="20"/>
          <w:lang w:val="sl-SI"/>
        </w:rPr>
        <w:t>:</w:t>
      </w:r>
      <w:r w:rsidR="008413CB" w:rsidRPr="00290A65">
        <w:rPr>
          <w:rFonts w:cs="Arial"/>
          <w:szCs w:val="20"/>
          <w:lang w:val="sl-SI"/>
        </w:rPr>
        <w:t xml:space="preserve"> Švica, Islandija, Lihtenštain, Norveška, Ceuta, Melila.  </w:t>
      </w:r>
    </w:p>
    <w:p w14:paraId="737D0BD7" w14:textId="77777777" w:rsidR="00D30600" w:rsidRPr="00290A65" w:rsidRDefault="00D30600" w:rsidP="007D77FC">
      <w:pPr>
        <w:jc w:val="both"/>
        <w:rPr>
          <w:rFonts w:cs="Arial"/>
          <w:b/>
          <w:bCs/>
          <w:szCs w:val="20"/>
          <w:lang w:val="sl-SI"/>
        </w:rPr>
      </w:pPr>
    </w:p>
    <w:p w14:paraId="02C84117" w14:textId="7CA57B6D" w:rsidR="007D77FC" w:rsidRPr="00290A65" w:rsidRDefault="00C433C6" w:rsidP="007D77FC">
      <w:pPr>
        <w:jc w:val="both"/>
        <w:rPr>
          <w:rFonts w:cs="Arial"/>
          <w:b/>
          <w:bCs/>
          <w:szCs w:val="20"/>
          <w:lang w:val="sl-SI"/>
        </w:rPr>
      </w:pPr>
      <w:r w:rsidRPr="00290A65">
        <w:rPr>
          <w:rFonts w:cs="Arial"/>
          <w:b/>
          <w:bCs/>
          <w:szCs w:val="20"/>
          <w:lang w:val="sl-SI"/>
        </w:rPr>
        <w:t>Izpolnjevanje uvozne deklaracije</w:t>
      </w:r>
    </w:p>
    <w:p w14:paraId="64241F6A" w14:textId="77777777" w:rsidR="00C1147E" w:rsidRPr="00290A65" w:rsidRDefault="00C1147E" w:rsidP="007D77FC">
      <w:pPr>
        <w:jc w:val="both"/>
        <w:rPr>
          <w:rFonts w:cs="Arial"/>
          <w:b/>
          <w:bCs/>
          <w:szCs w:val="20"/>
          <w:lang w:val="sl-SI"/>
        </w:rPr>
      </w:pPr>
    </w:p>
    <w:p w14:paraId="5AA9EA30" w14:textId="77777777" w:rsidR="00C1147E" w:rsidRPr="00290A65" w:rsidRDefault="00C1147E" w:rsidP="00C1147E">
      <w:pPr>
        <w:jc w:val="both"/>
        <w:rPr>
          <w:rFonts w:cs="Arial"/>
          <w:szCs w:val="20"/>
          <w:lang w:val="sl-SI"/>
        </w:rPr>
      </w:pPr>
      <w:r w:rsidRPr="00290A65">
        <w:rPr>
          <w:rFonts w:cs="Arial"/>
          <w:szCs w:val="20"/>
          <w:lang w:val="sl-SI"/>
        </w:rPr>
        <w:t>Pred sprejemom uvozne deklaracije se preverja format referenčne številke za oznako Y128 in sicer:</w:t>
      </w:r>
    </w:p>
    <w:p w14:paraId="79F310CD" w14:textId="77777777" w:rsidR="00C1147E" w:rsidRPr="00290A65" w:rsidRDefault="00C1147E" w:rsidP="00C1147E">
      <w:pPr>
        <w:jc w:val="both"/>
        <w:rPr>
          <w:rFonts w:cs="Arial"/>
          <w:szCs w:val="20"/>
          <w:lang w:val="sl-SI"/>
        </w:rPr>
      </w:pPr>
    </w:p>
    <w:p w14:paraId="22BEC7DF" w14:textId="5DC96DDB" w:rsidR="00C1147E" w:rsidRPr="00290A65" w:rsidRDefault="00C1147E" w:rsidP="008413CB">
      <w:pPr>
        <w:pStyle w:val="Odstavekseznama"/>
        <w:numPr>
          <w:ilvl w:val="0"/>
          <w:numId w:val="8"/>
        </w:numPr>
        <w:jc w:val="both"/>
        <w:rPr>
          <w:rFonts w:cs="Arial"/>
          <w:szCs w:val="20"/>
          <w:shd w:val="clear" w:color="auto" w:fill="FFFFFF"/>
          <w:lang w:val="sl-SI"/>
        </w:rPr>
      </w:pPr>
      <w:r w:rsidRPr="00290A65">
        <w:rPr>
          <w:rFonts w:cs="Arial"/>
          <w:szCs w:val="20"/>
          <w:lang w:val="sl-SI"/>
        </w:rPr>
        <w:t>CBAM-Kratica države-Leto-(</w:t>
      </w:r>
      <w:r w:rsidRPr="00290A65">
        <w:rPr>
          <w:rFonts w:cs="Arial"/>
          <w:szCs w:val="20"/>
          <w:shd w:val="clear" w:color="auto" w:fill="FFFFFF"/>
          <w:lang w:val="sl-SI"/>
        </w:rPr>
        <w:t>12-18 alfanumeričnih znakov)</w:t>
      </w:r>
    </w:p>
    <w:p w14:paraId="6FF7F053" w14:textId="38DB9FDD" w:rsidR="00C1147E" w:rsidRPr="00290A65" w:rsidRDefault="00C1147E" w:rsidP="008413CB">
      <w:pPr>
        <w:pStyle w:val="Odstavekseznama"/>
        <w:numPr>
          <w:ilvl w:val="0"/>
          <w:numId w:val="8"/>
        </w:numPr>
        <w:jc w:val="both"/>
        <w:rPr>
          <w:rFonts w:cs="Arial"/>
          <w:szCs w:val="20"/>
          <w:lang w:val="sl-SI"/>
        </w:rPr>
      </w:pPr>
      <w:r w:rsidRPr="00290A65">
        <w:rPr>
          <w:rFonts w:cs="Arial"/>
          <w:szCs w:val="20"/>
          <w:shd w:val="clear" w:color="auto" w:fill="FFFFFF"/>
          <w:lang w:val="sl-SI"/>
        </w:rPr>
        <w:t>CBAM-DD-LLLL-(12-18 alfanumeričnih znakov) - CCCC-DD-LLLL-AAAAAAAAAAAAAAAA</w:t>
      </w:r>
    </w:p>
    <w:p w14:paraId="286C2012" w14:textId="77777777" w:rsidR="00C1147E" w:rsidRPr="00290A65" w:rsidRDefault="00C1147E" w:rsidP="007D77FC">
      <w:pPr>
        <w:jc w:val="both"/>
        <w:rPr>
          <w:rFonts w:cs="Arial"/>
          <w:b/>
          <w:bCs/>
          <w:szCs w:val="20"/>
          <w:lang w:val="sl-SI"/>
        </w:rPr>
      </w:pPr>
    </w:p>
    <w:p w14:paraId="3D013B55" w14:textId="72627CCC" w:rsidR="00693C8B" w:rsidRPr="00290A65" w:rsidRDefault="00B24A2D" w:rsidP="007D77FC">
      <w:pPr>
        <w:jc w:val="both"/>
        <w:rPr>
          <w:rFonts w:cs="Arial"/>
          <w:szCs w:val="20"/>
          <w:lang w:val="sl-SI"/>
        </w:rPr>
      </w:pPr>
      <w:r w:rsidRPr="00290A65">
        <w:rPr>
          <w:rFonts w:cs="Arial"/>
          <w:szCs w:val="20"/>
          <w:lang w:val="sl-SI"/>
        </w:rPr>
        <w:t xml:space="preserve">Za oznaki Y128 in Y238 je potrebno obvezno izpolniti tudi referenčno številko računa </w:t>
      </w:r>
      <w:r w:rsidR="00765EEB">
        <w:rPr>
          <w:rFonts w:cs="Arial"/>
          <w:szCs w:val="20"/>
          <w:lang w:val="sl-SI"/>
        </w:rPr>
        <w:t xml:space="preserve">pooblaščenega deklaranta CBAM </w:t>
      </w:r>
      <w:r w:rsidRPr="00290A65">
        <w:rPr>
          <w:rFonts w:cs="Arial"/>
          <w:szCs w:val="20"/>
          <w:lang w:val="sl-SI"/>
        </w:rPr>
        <w:t xml:space="preserve">oz. dovoljenja CBAM oz. referenčno številko vloge (zahtevka) za </w:t>
      </w:r>
      <w:r w:rsidR="00765EEB">
        <w:rPr>
          <w:rFonts w:cs="Arial"/>
          <w:szCs w:val="20"/>
          <w:lang w:val="sl-SI"/>
        </w:rPr>
        <w:t xml:space="preserve">pridobitev </w:t>
      </w:r>
      <w:r w:rsidRPr="00290A65">
        <w:rPr>
          <w:rFonts w:cs="Arial"/>
          <w:szCs w:val="20"/>
          <w:lang w:val="sl-SI"/>
        </w:rPr>
        <w:t>dovoljenj</w:t>
      </w:r>
      <w:r w:rsidR="007C2B4B">
        <w:rPr>
          <w:rFonts w:cs="Arial"/>
          <w:szCs w:val="20"/>
          <w:lang w:val="sl-SI"/>
        </w:rPr>
        <w:t>a</w:t>
      </w:r>
      <w:r w:rsidRPr="00290A65">
        <w:rPr>
          <w:rFonts w:cs="Arial"/>
          <w:szCs w:val="20"/>
          <w:lang w:val="sl-SI"/>
        </w:rPr>
        <w:t xml:space="preserve"> CBAM. Vse ostale oznake Y</w:t>
      </w:r>
      <w:r w:rsidR="007C2B4B">
        <w:rPr>
          <w:rFonts w:cs="Arial"/>
          <w:szCs w:val="20"/>
          <w:lang w:val="sl-SI"/>
        </w:rPr>
        <w:t>,</w:t>
      </w:r>
      <w:r w:rsidRPr="00290A65">
        <w:rPr>
          <w:rFonts w:cs="Arial"/>
          <w:szCs w:val="20"/>
          <w:lang w:val="sl-SI"/>
        </w:rPr>
        <w:t xml:space="preserve"> vezane na </w:t>
      </w:r>
      <w:r w:rsidR="00765EEB">
        <w:rPr>
          <w:rFonts w:cs="Arial"/>
          <w:szCs w:val="20"/>
          <w:lang w:val="sl-SI"/>
        </w:rPr>
        <w:t>TARIC nadzorni ukrep blaga</w:t>
      </w:r>
      <w:r w:rsidR="007C2B4B">
        <w:rPr>
          <w:rFonts w:cs="Arial"/>
          <w:szCs w:val="20"/>
          <w:lang w:val="sl-SI"/>
        </w:rPr>
        <w:t xml:space="preserve"> CBAM,</w:t>
      </w:r>
      <w:r w:rsidR="00765EEB">
        <w:rPr>
          <w:rFonts w:cs="Arial"/>
          <w:szCs w:val="20"/>
          <w:lang w:val="sl-SI"/>
        </w:rPr>
        <w:t xml:space="preserve"> </w:t>
      </w:r>
      <w:r w:rsidRPr="00290A65">
        <w:rPr>
          <w:rFonts w:cs="Arial"/>
          <w:szCs w:val="20"/>
          <w:lang w:val="sl-SI"/>
        </w:rPr>
        <w:t>se pišejo brez referenčne oznake.</w:t>
      </w:r>
    </w:p>
    <w:p w14:paraId="6F8DF696" w14:textId="77777777" w:rsidR="00B24A2D" w:rsidRPr="00290A65" w:rsidRDefault="00B24A2D" w:rsidP="007D77FC">
      <w:pPr>
        <w:jc w:val="both"/>
        <w:rPr>
          <w:rFonts w:cs="Arial"/>
          <w:b/>
          <w:bCs/>
          <w:szCs w:val="20"/>
          <w:lang w:val="sl-SI"/>
        </w:rPr>
      </w:pPr>
    </w:p>
    <w:tbl>
      <w:tblPr>
        <w:tblStyle w:val="Tabelamrea4"/>
        <w:tblW w:w="0" w:type="auto"/>
        <w:jc w:val="center"/>
        <w:tblLook w:val="04A0" w:firstRow="1" w:lastRow="0" w:firstColumn="1" w:lastColumn="0" w:noHBand="0" w:noVBand="1"/>
      </w:tblPr>
      <w:tblGrid>
        <w:gridCol w:w="2519"/>
        <w:gridCol w:w="4422"/>
      </w:tblGrid>
      <w:tr w:rsidR="00693C8B" w:rsidRPr="00290A65" w14:paraId="504AB97A" w14:textId="77777777" w:rsidTr="00144184">
        <w:trPr>
          <w:trHeight w:val="549"/>
          <w:jc w:val="center"/>
        </w:trPr>
        <w:tc>
          <w:tcPr>
            <w:tcW w:w="2519" w:type="dxa"/>
          </w:tcPr>
          <w:p w14:paraId="1ED613DF" w14:textId="4733C6B7" w:rsidR="00693C8B" w:rsidRPr="00290A65" w:rsidRDefault="00693C8B" w:rsidP="00693C8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 xml:space="preserve">Podatkovni podelement </w:t>
            </w:r>
          </w:p>
          <w:p w14:paraId="15C526E9" w14:textId="77777777" w:rsidR="00693C8B" w:rsidRPr="00290A65" w:rsidRDefault="00693C8B" w:rsidP="00693C8B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Vrsta: 12 04 002 000 </w:t>
            </w:r>
          </w:p>
        </w:tc>
        <w:tc>
          <w:tcPr>
            <w:tcW w:w="4422" w:type="dxa"/>
          </w:tcPr>
          <w:p w14:paraId="47726467" w14:textId="77777777" w:rsidR="00693C8B" w:rsidRPr="00290A65" w:rsidRDefault="00693C8B" w:rsidP="00693C8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Podatkovni podelement</w:t>
            </w:r>
          </w:p>
          <w:p w14:paraId="0A82A042" w14:textId="77777777" w:rsidR="00693C8B" w:rsidRPr="00290A65" w:rsidRDefault="00693C8B" w:rsidP="00693C8B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Referenčna številka: 12 04 001 000 </w:t>
            </w:r>
          </w:p>
        </w:tc>
      </w:tr>
      <w:tr w:rsidR="00693C8B" w:rsidRPr="00825B77" w14:paraId="449DE657" w14:textId="77777777" w:rsidTr="00144184">
        <w:trPr>
          <w:trHeight w:val="429"/>
          <w:jc w:val="center"/>
        </w:trPr>
        <w:tc>
          <w:tcPr>
            <w:tcW w:w="2519" w:type="dxa"/>
          </w:tcPr>
          <w:p w14:paraId="5DBA4B52" w14:textId="77777777" w:rsidR="00693C8B" w:rsidRPr="00290A65" w:rsidRDefault="00693C8B" w:rsidP="00693C8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bookmarkStart w:id="3" w:name="_Hlk216265900"/>
            <w:r w:rsidRPr="00290A65">
              <w:rPr>
                <w:rFonts w:cs="Arial"/>
                <w:sz w:val="20"/>
                <w:szCs w:val="20"/>
                <w:lang w:val="sl-SI"/>
              </w:rPr>
              <w:t>Y128</w:t>
            </w:r>
          </w:p>
        </w:tc>
        <w:tc>
          <w:tcPr>
            <w:tcW w:w="4422" w:type="dxa"/>
          </w:tcPr>
          <w:p w14:paraId="4EE86600" w14:textId="77777777" w:rsidR="00693C8B" w:rsidRPr="00290A65" w:rsidRDefault="00693C8B" w:rsidP="00693C8B">
            <w:pPr>
              <w:spacing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Številka računa oz. številka dovoljenja CBAM</w:t>
            </w:r>
          </w:p>
        </w:tc>
      </w:tr>
      <w:tr w:rsidR="00693C8B" w:rsidRPr="00290A65" w14:paraId="72A176D1" w14:textId="77777777" w:rsidTr="00144184">
        <w:trPr>
          <w:trHeight w:val="419"/>
          <w:jc w:val="center"/>
        </w:trPr>
        <w:tc>
          <w:tcPr>
            <w:tcW w:w="2519" w:type="dxa"/>
          </w:tcPr>
          <w:p w14:paraId="789A775C" w14:textId="77777777" w:rsidR="00693C8B" w:rsidRPr="00290A65" w:rsidRDefault="00693C8B" w:rsidP="00693C8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Y134</w:t>
            </w:r>
          </w:p>
        </w:tc>
        <w:tc>
          <w:tcPr>
            <w:tcW w:w="4422" w:type="dxa"/>
          </w:tcPr>
          <w:p w14:paraId="58E209DE" w14:textId="1F3C3211" w:rsidR="00693C8B" w:rsidRPr="00290A65" w:rsidRDefault="00D30600" w:rsidP="00693C8B">
            <w:pPr>
              <w:spacing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/</w:t>
            </w:r>
          </w:p>
        </w:tc>
      </w:tr>
      <w:tr w:rsidR="00693C8B" w:rsidRPr="00290A65" w14:paraId="57FDA95B" w14:textId="77777777" w:rsidTr="00144184">
        <w:trPr>
          <w:trHeight w:val="425"/>
          <w:jc w:val="center"/>
        </w:trPr>
        <w:tc>
          <w:tcPr>
            <w:tcW w:w="2519" w:type="dxa"/>
          </w:tcPr>
          <w:p w14:paraId="375822B7" w14:textId="77777777" w:rsidR="00693C8B" w:rsidRPr="00290A65" w:rsidRDefault="00693C8B" w:rsidP="00693C8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Y135</w:t>
            </w:r>
          </w:p>
        </w:tc>
        <w:tc>
          <w:tcPr>
            <w:tcW w:w="4422" w:type="dxa"/>
          </w:tcPr>
          <w:p w14:paraId="4B38AACF" w14:textId="63596C7F" w:rsidR="00693C8B" w:rsidRPr="00290A65" w:rsidRDefault="00D30600" w:rsidP="00693C8B">
            <w:pPr>
              <w:spacing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/</w:t>
            </w:r>
          </w:p>
        </w:tc>
      </w:tr>
      <w:tr w:rsidR="00693C8B" w:rsidRPr="00290A65" w14:paraId="5545F74D" w14:textId="77777777" w:rsidTr="00144184">
        <w:trPr>
          <w:trHeight w:val="417"/>
          <w:jc w:val="center"/>
        </w:trPr>
        <w:tc>
          <w:tcPr>
            <w:tcW w:w="2519" w:type="dxa"/>
          </w:tcPr>
          <w:p w14:paraId="3956DFF3" w14:textId="77777777" w:rsidR="00693C8B" w:rsidRPr="00290A65" w:rsidRDefault="00693C8B" w:rsidP="00693C8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Y136</w:t>
            </w:r>
          </w:p>
        </w:tc>
        <w:tc>
          <w:tcPr>
            <w:tcW w:w="4422" w:type="dxa"/>
          </w:tcPr>
          <w:p w14:paraId="54DA4997" w14:textId="78A4386C" w:rsidR="00693C8B" w:rsidRPr="00290A65" w:rsidRDefault="00D30600" w:rsidP="00693C8B">
            <w:pPr>
              <w:spacing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/</w:t>
            </w:r>
          </w:p>
        </w:tc>
      </w:tr>
      <w:tr w:rsidR="00693C8B" w:rsidRPr="00290A65" w14:paraId="56A13371" w14:textId="77777777" w:rsidTr="00144184">
        <w:trPr>
          <w:trHeight w:val="410"/>
          <w:jc w:val="center"/>
        </w:trPr>
        <w:tc>
          <w:tcPr>
            <w:tcW w:w="2519" w:type="dxa"/>
          </w:tcPr>
          <w:p w14:paraId="782D2FD1" w14:textId="77777777" w:rsidR="00693C8B" w:rsidRPr="00290A65" w:rsidRDefault="00693C8B" w:rsidP="00693C8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Y137</w:t>
            </w:r>
          </w:p>
        </w:tc>
        <w:tc>
          <w:tcPr>
            <w:tcW w:w="4422" w:type="dxa"/>
          </w:tcPr>
          <w:p w14:paraId="789065E0" w14:textId="4F1583D7" w:rsidR="00693C8B" w:rsidRPr="00290A65" w:rsidRDefault="00D30600" w:rsidP="00693C8B">
            <w:pPr>
              <w:spacing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/</w:t>
            </w:r>
          </w:p>
        </w:tc>
      </w:tr>
      <w:tr w:rsidR="00693C8B" w:rsidRPr="00290A65" w14:paraId="2762496D" w14:textId="77777777" w:rsidTr="00144184">
        <w:trPr>
          <w:trHeight w:val="415"/>
          <w:jc w:val="center"/>
        </w:trPr>
        <w:tc>
          <w:tcPr>
            <w:tcW w:w="2519" w:type="dxa"/>
          </w:tcPr>
          <w:p w14:paraId="013F53A4" w14:textId="77777777" w:rsidR="00693C8B" w:rsidRPr="00290A65" w:rsidRDefault="00693C8B" w:rsidP="00693C8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Y237</w:t>
            </w:r>
          </w:p>
        </w:tc>
        <w:tc>
          <w:tcPr>
            <w:tcW w:w="4422" w:type="dxa"/>
          </w:tcPr>
          <w:p w14:paraId="75786908" w14:textId="076FABA5" w:rsidR="00693C8B" w:rsidRPr="00290A65" w:rsidRDefault="00D30600" w:rsidP="00693C8B">
            <w:pPr>
              <w:spacing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>/</w:t>
            </w:r>
          </w:p>
        </w:tc>
      </w:tr>
      <w:tr w:rsidR="00693C8B" w:rsidRPr="00290A65" w14:paraId="1D378976" w14:textId="77777777" w:rsidTr="00144184">
        <w:trPr>
          <w:trHeight w:val="421"/>
          <w:jc w:val="center"/>
        </w:trPr>
        <w:tc>
          <w:tcPr>
            <w:tcW w:w="2519" w:type="dxa"/>
          </w:tcPr>
          <w:p w14:paraId="00A7A0CF" w14:textId="77777777" w:rsidR="00693C8B" w:rsidRPr="00290A65" w:rsidRDefault="00693C8B" w:rsidP="00693C8B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lastRenderedPageBreak/>
              <w:t>Y238</w:t>
            </w:r>
          </w:p>
        </w:tc>
        <w:tc>
          <w:tcPr>
            <w:tcW w:w="4422" w:type="dxa"/>
          </w:tcPr>
          <w:p w14:paraId="39D0E03E" w14:textId="7DB702C6" w:rsidR="00693C8B" w:rsidRPr="00290A65" w:rsidRDefault="00693C8B" w:rsidP="00693C8B">
            <w:pPr>
              <w:spacing w:line="240" w:lineRule="auto"/>
              <w:rPr>
                <w:rFonts w:cs="Arial"/>
                <w:sz w:val="20"/>
                <w:szCs w:val="20"/>
                <w:lang w:val="sl-SI"/>
              </w:rPr>
            </w:pPr>
            <w:r w:rsidRPr="00290A65">
              <w:rPr>
                <w:rFonts w:cs="Arial"/>
                <w:sz w:val="20"/>
                <w:szCs w:val="20"/>
                <w:lang w:val="sl-SI"/>
              </w:rPr>
              <w:t xml:space="preserve">Referenčna številka vloge </w:t>
            </w:r>
            <w:r w:rsidR="004E4457">
              <w:rPr>
                <w:rFonts w:cs="Arial"/>
                <w:sz w:val="20"/>
                <w:szCs w:val="20"/>
                <w:lang w:val="sl-SI"/>
              </w:rPr>
              <w:t>(zahtevka)</w:t>
            </w:r>
          </w:p>
        </w:tc>
      </w:tr>
      <w:bookmarkEnd w:id="3"/>
    </w:tbl>
    <w:p w14:paraId="0FFF7AE5" w14:textId="77777777" w:rsidR="00693C8B" w:rsidRPr="00290A65" w:rsidRDefault="00693C8B" w:rsidP="007D77FC">
      <w:pPr>
        <w:jc w:val="both"/>
        <w:rPr>
          <w:rFonts w:cs="Arial"/>
          <w:b/>
          <w:bCs/>
          <w:szCs w:val="20"/>
          <w:lang w:val="sl-SI"/>
        </w:rPr>
      </w:pPr>
    </w:p>
    <w:p w14:paraId="143BB9AB" w14:textId="146FC95C" w:rsidR="00D46696" w:rsidRPr="00290A65" w:rsidRDefault="00D46696" w:rsidP="007D77FC">
      <w:pPr>
        <w:jc w:val="both"/>
        <w:rPr>
          <w:rFonts w:cs="Arial"/>
          <w:b/>
          <w:bCs/>
          <w:szCs w:val="20"/>
          <w:lang w:val="sl-SI"/>
        </w:rPr>
      </w:pPr>
      <w:r w:rsidRPr="00290A65">
        <w:rPr>
          <w:rFonts w:cs="Arial"/>
          <w:b/>
          <w:bCs/>
          <w:szCs w:val="20"/>
          <w:lang w:val="sl-SI"/>
        </w:rPr>
        <w:t xml:space="preserve"> </w:t>
      </w:r>
      <w:r w:rsidR="0079471F" w:rsidRPr="00290A65">
        <w:rPr>
          <w:rFonts w:cs="Arial"/>
          <w:b/>
          <w:bCs/>
          <w:szCs w:val="20"/>
          <w:lang w:val="sl-SI"/>
        </w:rPr>
        <w:t xml:space="preserve">Poslovna pravila </w:t>
      </w:r>
      <w:r w:rsidRPr="00290A65">
        <w:rPr>
          <w:rFonts w:cs="Arial"/>
          <w:b/>
          <w:bCs/>
          <w:szCs w:val="20"/>
          <w:lang w:val="sl-SI"/>
        </w:rPr>
        <w:t>(SPP)</w:t>
      </w:r>
    </w:p>
    <w:p w14:paraId="1E9F0F4B" w14:textId="77777777" w:rsidR="0079471F" w:rsidRPr="00290A65" w:rsidRDefault="0079471F" w:rsidP="007D77FC">
      <w:pPr>
        <w:jc w:val="both"/>
        <w:rPr>
          <w:rFonts w:cs="Arial"/>
          <w:b/>
          <w:bCs/>
          <w:szCs w:val="20"/>
          <w:lang w:val="sl-SI"/>
        </w:rPr>
      </w:pPr>
    </w:p>
    <w:p w14:paraId="72B259D4" w14:textId="599340AF" w:rsidR="00534042" w:rsidRPr="00290A65" w:rsidRDefault="00534042" w:rsidP="0079471F">
      <w:pPr>
        <w:pStyle w:val="Odstavekseznama"/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290A65">
        <w:rPr>
          <w:rFonts w:cs="Arial"/>
          <w:szCs w:val="20"/>
          <w:lang w:val="sl-SI"/>
        </w:rPr>
        <w:t>preverjanje formata za referenčno številko računa oz</w:t>
      </w:r>
      <w:r w:rsidR="00765EEB">
        <w:rPr>
          <w:rFonts w:cs="Arial"/>
          <w:szCs w:val="20"/>
          <w:lang w:val="sl-SI"/>
        </w:rPr>
        <w:t>.</w:t>
      </w:r>
      <w:r w:rsidRPr="00290A65">
        <w:rPr>
          <w:rFonts w:cs="Arial"/>
          <w:szCs w:val="20"/>
          <w:lang w:val="sl-SI"/>
        </w:rPr>
        <w:t xml:space="preserve"> dovoljenja CBAM v oznaki Y128</w:t>
      </w:r>
    </w:p>
    <w:p w14:paraId="2F390ACA" w14:textId="3CBE7C46" w:rsidR="0079471F" w:rsidRPr="00290A65" w:rsidRDefault="0079471F" w:rsidP="0079471F">
      <w:pPr>
        <w:pStyle w:val="Odstavekseznama"/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290A65">
        <w:rPr>
          <w:rFonts w:cs="Arial"/>
          <w:szCs w:val="20"/>
          <w:lang w:val="sl-SI"/>
        </w:rPr>
        <w:t>za oznako Y128 mora biti obvezno vpisana tudi referenčna številka računa oz. dovoljenja CBAM</w:t>
      </w:r>
    </w:p>
    <w:p w14:paraId="64A61C88" w14:textId="4F8714A9" w:rsidR="0079471F" w:rsidRPr="00290A65" w:rsidRDefault="0079471F" w:rsidP="0079471F">
      <w:pPr>
        <w:pStyle w:val="Odstavekseznama"/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290A65">
        <w:rPr>
          <w:rFonts w:cs="Arial"/>
          <w:szCs w:val="20"/>
          <w:lang w:val="sl-SI"/>
        </w:rPr>
        <w:t>za oznako Y238 mora biti obvezno vpisana tudi referenčna številka vloge</w:t>
      </w:r>
      <w:r w:rsidR="008E287F" w:rsidRPr="00290A65">
        <w:rPr>
          <w:rFonts w:cs="Arial"/>
          <w:szCs w:val="20"/>
          <w:lang w:val="sl-SI"/>
        </w:rPr>
        <w:t xml:space="preserve"> (zahtevka)</w:t>
      </w:r>
      <w:r w:rsidRPr="00290A65">
        <w:rPr>
          <w:rFonts w:cs="Arial"/>
          <w:szCs w:val="20"/>
          <w:lang w:val="sl-SI"/>
        </w:rPr>
        <w:t xml:space="preserve"> za </w:t>
      </w:r>
      <w:r w:rsidR="00765EEB">
        <w:rPr>
          <w:rFonts w:cs="Arial"/>
          <w:szCs w:val="20"/>
          <w:lang w:val="sl-SI"/>
        </w:rPr>
        <w:t>pridobitev</w:t>
      </w:r>
      <w:r w:rsidR="00765EEB" w:rsidRPr="00290A65">
        <w:rPr>
          <w:rFonts w:cs="Arial"/>
          <w:szCs w:val="20"/>
          <w:lang w:val="sl-SI"/>
        </w:rPr>
        <w:t xml:space="preserve"> </w:t>
      </w:r>
      <w:r w:rsidRPr="00290A65">
        <w:rPr>
          <w:rFonts w:cs="Arial"/>
          <w:szCs w:val="20"/>
          <w:lang w:val="sl-SI"/>
        </w:rPr>
        <w:t>dovoljenja</w:t>
      </w:r>
      <w:r w:rsidR="00765EEB" w:rsidRPr="00765EEB">
        <w:rPr>
          <w:rFonts w:cs="Arial"/>
          <w:szCs w:val="20"/>
          <w:lang w:val="sl-SI"/>
        </w:rPr>
        <w:t xml:space="preserve"> </w:t>
      </w:r>
      <w:r w:rsidR="00765EEB" w:rsidRPr="00290A65">
        <w:rPr>
          <w:rFonts w:cs="Arial"/>
          <w:szCs w:val="20"/>
          <w:lang w:val="sl-SI"/>
        </w:rPr>
        <w:t>CBAM</w:t>
      </w:r>
    </w:p>
    <w:p w14:paraId="77B5ADB8" w14:textId="3B65813E" w:rsidR="0079471F" w:rsidRPr="00290A65" w:rsidRDefault="00290A65" w:rsidP="0079471F">
      <w:pPr>
        <w:pStyle w:val="Odstavekseznama"/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za </w:t>
      </w:r>
      <w:r w:rsidR="0079471F" w:rsidRPr="00290A65">
        <w:rPr>
          <w:rFonts w:cs="Arial"/>
          <w:szCs w:val="20"/>
          <w:lang w:val="sl-SI"/>
        </w:rPr>
        <w:t xml:space="preserve">CBAM blago </w:t>
      </w:r>
      <w:r>
        <w:rPr>
          <w:rFonts w:cs="Arial"/>
          <w:szCs w:val="20"/>
          <w:lang w:val="sl-SI"/>
        </w:rPr>
        <w:t xml:space="preserve">mora biti </w:t>
      </w:r>
      <w:r w:rsidRPr="00290A65">
        <w:rPr>
          <w:rFonts w:cs="Arial"/>
          <w:szCs w:val="20"/>
          <w:lang w:val="sl-SI"/>
        </w:rPr>
        <w:t xml:space="preserve">na nivoju postavke </w:t>
      </w:r>
      <w:r w:rsidR="0079471F" w:rsidRPr="00290A65">
        <w:rPr>
          <w:rFonts w:cs="Arial"/>
          <w:szCs w:val="20"/>
          <w:lang w:val="sl-SI"/>
        </w:rPr>
        <w:t>obvezno vpisana ena od oznak Y128, Y134, Y135, Y136, Y137, Y237, Y238</w:t>
      </w:r>
    </w:p>
    <w:p w14:paraId="057F37B3" w14:textId="6B258C57" w:rsidR="00F91E94" w:rsidRDefault="008E287F" w:rsidP="0079471F">
      <w:pPr>
        <w:pStyle w:val="Odstavekseznama"/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290A65">
        <w:rPr>
          <w:rFonts w:cs="Arial"/>
          <w:szCs w:val="20"/>
          <w:lang w:val="sl-SI"/>
        </w:rPr>
        <w:t xml:space="preserve">če </w:t>
      </w:r>
      <w:r w:rsidR="00B24A2D" w:rsidRPr="00290A65">
        <w:rPr>
          <w:rFonts w:cs="Arial"/>
          <w:szCs w:val="20"/>
          <w:lang w:val="sl-SI"/>
        </w:rPr>
        <w:t xml:space="preserve">dobimo v odgovoru IES002 iz EU CSW CERTEX </w:t>
      </w:r>
      <w:r w:rsidR="00F91E94" w:rsidRPr="00290A65">
        <w:rPr>
          <w:rFonts w:cs="Arial"/>
          <w:szCs w:val="20"/>
          <w:lang w:val="sl-SI"/>
        </w:rPr>
        <w:t xml:space="preserve">rezultat preverjanja (Information Result) </w:t>
      </w:r>
      <w:r w:rsidRPr="00290A65">
        <w:rPr>
          <w:rFonts w:cs="Arial"/>
          <w:szCs w:val="20"/>
          <w:lang w:val="sl-SI"/>
        </w:rPr>
        <w:t>z vrednostjo »01«, se blago ne sme prepustiti</w:t>
      </w:r>
      <w:r w:rsidR="00290A65">
        <w:rPr>
          <w:rFonts w:cs="Arial"/>
          <w:szCs w:val="20"/>
          <w:lang w:val="sl-SI"/>
        </w:rPr>
        <w:t xml:space="preserve"> oz. se deklaracija zavrne</w:t>
      </w:r>
      <w:r w:rsidR="00B24A2D" w:rsidRPr="00290A65">
        <w:rPr>
          <w:rFonts w:cs="Arial"/>
          <w:szCs w:val="20"/>
          <w:lang w:val="sl-SI"/>
        </w:rPr>
        <w:t>. Ta rezul</w:t>
      </w:r>
      <w:r w:rsidR="007909A4" w:rsidRPr="00290A65">
        <w:rPr>
          <w:rFonts w:cs="Arial"/>
          <w:szCs w:val="20"/>
          <w:lang w:val="sl-SI"/>
        </w:rPr>
        <w:t>tat</w:t>
      </w:r>
      <w:r w:rsidR="00290A65">
        <w:rPr>
          <w:rFonts w:cs="Arial"/>
          <w:szCs w:val="20"/>
          <w:lang w:val="sl-SI"/>
        </w:rPr>
        <w:t xml:space="preserve"> preverjanja</w:t>
      </w:r>
      <w:r w:rsidR="007909A4" w:rsidRPr="00290A65">
        <w:rPr>
          <w:rFonts w:cs="Arial"/>
          <w:szCs w:val="20"/>
          <w:lang w:val="sl-SI"/>
        </w:rPr>
        <w:t xml:space="preserve"> dobimo, če v EU CSW CERTEX račun oz. dovoljenje CBAM</w:t>
      </w:r>
      <w:r w:rsidR="00290A65">
        <w:rPr>
          <w:rFonts w:cs="Arial"/>
          <w:szCs w:val="20"/>
          <w:lang w:val="sl-SI"/>
        </w:rPr>
        <w:t xml:space="preserve"> ne obstaja</w:t>
      </w:r>
      <w:r w:rsidR="007909A4" w:rsidRPr="00290A65">
        <w:rPr>
          <w:rFonts w:cs="Arial"/>
          <w:szCs w:val="20"/>
          <w:lang w:val="sl-SI"/>
        </w:rPr>
        <w:t xml:space="preserve">, ali če se EORI številka uvoznika </w:t>
      </w:r>
      <w:r w:rsidR="008C3F28">
        <w:rPr>
          <w:rFonts w:cs="Arial"/>
          <w:szCs w:val="20"/>
          <w:lang w:val="sl-SI"/>
        </w:rPr>
        <w:t xml:space="preserve">ali </w:t>
      </w:r>
      <w:r w:rsidR="007909A4" w:rsidRPr="00290A65">
        <w:rPr>
          <w:rFonts w:cs="Arial"/>
          <w:szCs w:val="20"/>
          <w:lang w:val="sl-SI"/>
        </w:rPr>
        <w:t xml:space="preserve">posrednega </w:t>
      </w:r>
      <w:r w:rsidR="007830C1">
        <w:rPr>
          <w:rFonts w:cs="Arial"/>
          <w:szCs w:val="20"/>
          <w:lang w:val="sl-SI"/>
        </w:rPr>
        <w:t xml:space="preserve">carinskega </w:t>
      </w:r>
      <w:r w:rsidR="007909A4" w:rsidRPr="00290A65">
        <w:rPr>
          <w:rFonts w:cs="Arial"/>
          <w:szCs w:val="20"/>
          <w:lang w:val="sl-SI"/>
        </w:rPr>
        <w:t>zastopnika v uvozni deklaraciji ne ujema z imetnikom dovoljenja</w:t>
      </w:r>
      <w:r w:rsidR="00765EEB" w:rsidRPr="00765EEB">
        <w:rPr>
          <w:rFonts w:cs="Arial"/>
          <w:szCs w:val="20"/>
          <w:lang w:val="sl-SI"/>
        </w:rPr>
        <w:t xml:space="preserve"> </w:t>
      </w:r>
      <w:r w:rsidR="00765EEB">
        <w:rPr>
          <w:rFonts w:cs="Arial"/>
          <w:szCs w:val="20"/>
          <w:lang w:val="sl-SI"/>
        </w:rPr>
        <w:t>CBAM</w:t>
      </w:r>
      <w:r w:rsidR="007909A4" w:rsidRPr="00290A65">
        <w:rPr>
          <w:rFonts w:cs="Arial"/>
          <w:szCs w:val="20"/>
          <w:lang w:val="sl-SI"/>
        </w:rPr>
        <w:t>.</w:t>
      </w:r>
    </w:p>
    <w:p w14:paraId="34CE6C3D" w14:textId="6AE0ABDE" w:rsidR="002528A5" w:rsidRPr="00CD7056" w:rsidRDefault="002528A5" w:rsidP="0079471F">
      <w:pPr>
        <w:pStyle w:val="Odstavekseznama"/>
        <w:numPr>
          <w:ilvl w:val="0"/>
          <w:numId w:val="7"/>
        </w:numPr>
        <w:jc w:val="both"/>
        <w:rPr>
          <w:rFonts w:cs="Arial"/>
          <w:szCs w:val="20"/>
          <w:lang w:val="sl-SI"/>
        </w:rPr>
      </w:pPr>
      <w:r w:rsidRPr="00CD7056">
        <w:rPr>
          <w:rFonts w:cs="Arial"/>
          <w:szCs w:val="20"/>
          <w:lang w:val="sl-SI"/>
        </w:rPr>
        <w:t xml:space="preserve">Če dobimo v </w:t>
      </w:r>
      <w:r w:rsidR="00825B77" w:rsidRPr="00CD7056">
        <w:rPr>
          <w:rFonts w:cs="Arial"/>
          <w:szCs w:val="20"/>
          <w:lang w:val="sl-SI"/>
        </w:rPr>
        <w:t>odgovoru</w:t>
      </w:r>
      <w:r w:rsidRPr="00CD7056">
        <w:rPr>
          <w:rFonts w:cs="Arial"/>
          <w:szCs w:val="20"/>
          <w:lang w:val="sl-SI"/>
        </w:rPr>
        <w:t xml:space="preserve"> IES002 iz EU CSW CSW CERTEX </w:t>
      </w:r>
      <w:r w:rsidR="00825B77" w:rsidRPr="00CD7056">
        <w:rPr>
          <w:rFonts w:cs="Arial"/>
          <w:szCs w:val="20"/>
          <w:lang w:val="sl-SI"/>
        </w:rPr>
        <w:t>rezultat</w:t>
      </w:r>
      <w:r w:rsidRPr="00CD7056">
        <w:rPr>
          <w:rFonts w:cs="Arial"/>
          <w:szCs w:val="20"/>
          <w:lang w:val="sl-SI"/>
        </w:rPr>
        <w:t xml:space="preserve"> preverjanja (Information Result) z vrednostjo »05« in statusom »342 – Preklican«, se deklaracija zavrne. Ta </w:t>
      </w:r>
      <w:r w:rsidR="00825B77" w:rsidRPr="00CD7056">
        <w:rPr>
          <w:rFonts w:cs="Arial"/>
          <w:szCs w:val="20"/>
          <w:lang w:val="sl-SI"/>
        </w:rPr>
        <w:t>rezultat</w:t>
      </w:r>
      <w:r w:rsidRPr="00CD7056">
        <w:rPr>
          <w:rFonts w:cs="Arial"/>
          <w:szCs w:val="20"/>
          <w:lang w:val="sl-SI"/>
        </w:rPr>
        <w:t xml:space="preserve"> </w:t>
      </w:r>
      <w:r w:rsidR="00825B77" w:rsidRPr="00CD7056">
        <w:rPr>
          <w:rFonts w:cs="Arial"/>
          <w:szCs w:val="20"/>
          <w:lang w:val="sl-SI"/>
        </w:rPr>
        <w:t>preverjanja</w:t>
      </w:r>
      <w:r w:rsidRPr="00CD7056">
        <w:rPr>
          <w:rFonts w:cs="Arial"/>
          <w:szCs w:val="20"/>
          <w:lang w:val="sl-SI"/>
        </w:rPr>
        <w:t xml:space="preserve"> dobimo, če je bilo dovoljenje CBAM preklicano.</w:t>
      </w:r>
    </w:p>
    <w:p w14:paraId="24E4B931" w14:textId="77777777" w:rsidR="008E287F" w:rsidRPr="00290A65" w:rsidRDefault="008E287F" w:rsidP="00D46696">
      <w:pPr>
        <w:jc w:val="both"/>
        <w:rPr>
          <w:rFonts w:cs="Arial"/>
          <w:szCs w:val="20"/>
          <w:lang w:val="sl-SI"/>
        </w:rPr>
      </w:pPr>
      <w:bookmarkStart w:id="4" w:name="_Hlk216270837"/>
    </w:p>
    <w:bookmarkEnd w:id="4"/>
    <w:p w14:paraId="4A9C1D86" w14:textId="77777777" w:rsidR="00E72E27" w:rsidRPr="00290A65" w:rsidRDefault="00E72E27" w:rsidP="00D46696">
      <w:pPr>
        <w:jc w:val="both"/>
        <w:rPr>
          <w:rFonts w:cs="Arial"/>
          <w:szCs w:val="20"/>
          <w:lang w:val="sl-SI"/>
        </w:rPr>
      </w:pPr>
    </w:p>
    <w:p w14:paraId="52D1EAF0" w14:textId="77777777" w:rsidR="007D77FC" w:rsidRPr="00290A65" w:rsidRDefault="007D77FC" w:rsidP="007D77FC">
      <w:pPr>
        <w:jc w:val="both"/>
        <w:rPr>
          <w:rFonts w:cs="Arial"/>
          <w:szCs w:val="20"/>
          <w:lang w:val="sl-SI"/>
        </w:rPr>
      </w:pPr>
    </w:p>
    <w:p w14:paraId="4EB2B502" w14:textId="03AECC59" w:rsidR="007D77FC" w:rsidRPr="00290A65" w:rsidRDefault="007D77FC" w:rsidP="007D77FC">
      <w:pPr>
        <w:jc w:val="both"/>
        <w:rPr>
          <w:rFonts w:cs="Arial"/>
          <w:szCs w:val="20"/>
          <w:lang w:val="sl-SI"/>
        </w:rPr>
      </w:pPr>
    </w:p>
    <w:p w14:paraId="1E80C38B" w14:textId="77777777" w:rsidR="007D77FC" w:rsidRPr="00290A65" w:rsidRDefault="007D77FC" w:rsidP="007D77FC">
      <w:pPr>
        <w:jc w:val="both"/>
        <w:rPr>
          <w:rFonts w:cs="Arial"/>
          <w:szCs w:val="20"/>
          <w:lang w:val="sl-SI"/>
        </w:rPr>
      </w:pPr>
    </w:p>
    <w:p w14:paraId="4CDA6F28" w14:textId="77777777" w:rsidR="007D77FC" w:rsidRPr="00290A65" w:rsidRDefault="007D77FC" w:rsidP="007D77FC">
      <w:pPr>
        <w:jc w:val="both"/>
        <w:rPr>
          <w:rFonts w:cs="Arial"/>
          <w:szCs w:val="20"/>
          <w:lang w:val="sl-SI"/>
        </w:rPr>
      </w:pPr>
    </w:p>
    <w:sectPr w:rsidR="007D77FC" w:rsidRPr="00290A65" w:rsidSect="00F00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268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B3BE" w14:textId="77777777" w:rsidR="002A18F8" w:rsidRDefault="002A18F8">
      <w:pPr>
        <w:spacing w:line="240" w:lineRule="auto"/>
      </w:pPr>
      <w:r>
        <w:separator/>
      </w:r>
    </w:p>
  </w:endnote>
  <w:endnote w:type="continuationSeparator" w:id="0">
    <w:p w14:paraId="14CF5ED3" w14:textId="77777777" w:rsidR="002A18F8" w:rsidRDefault="002A1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8702" w14:textId="77777777" w:rsidR="005254D1" w:rsidRDefault="005254D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BAB8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3828AD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7612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B653A6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B653A6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393A" w14:textId="77777777" w:rsidR="002A18F8" w:rsidRDefault="002A18F8">
      <w:pPr>
        <w:spacing w:line="240" w:lineRule="auto"/>
      </w:pPr>
      <w:r>
        <w:separator/>
      </w:r>
    </w:p>
  </w:footnote>
  <w:footnote w:type="continuationSeparator" w:id="0">
    <w:p w14:paraId="055D2926" w14:textId="77777777" w:rsidR="002A18F8" w:rsidRDefault="002A18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4B63" w14:textId="77777777" w:rsidR="005254D1" w:rsidRDefault="005254D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1A09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BF1F3A" w14:paraId="1DEDAEDF" w14:textId="77777777">
      <w:trPr>
        <w:cantSplit/>
        <w:trHeight w:hRule="exact" w:val="847"/>
      </w:trPr>
      <w:tc>
        <w:tcPr>
          <w:tcW w:w="567" w:type="dxa"/>
        </w:tcPr>
        <w:p w14:paraId="5381A71E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2FF50FE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76EE66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489078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F3B72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BC5B0C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A1B8DD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1C8EB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89C3C7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C8018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FEFC4F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C648D5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88F8A1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5B075E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DA7327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249125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8519C7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25A68B8" w14:textId="77777777" w:rsidR="000B0B21" w:rsidRPr="008F3500" w:rsidRDefault="00000000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szCs w:val="20"/>
        <w:lang w:val="sl-SI" w:eastAsia="ko-K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1B21B0A" wp14:editId="58C43E6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49" style="mso-height-percent:0;mso-height-relative:page;mso-position-vertical-relative:page;mso-width-percent:0;mso-width-relative:page;mso-wrap-distance-bottom:0;mso-wrap-distance-left:9pt;mso-wrap-distance-right:9pt;mso-wrap-distance-top:0;position:absolute;v-text-anchor:top;z-index:-251658240" from="-34pt,283.5pt" to="-14.15pt,283.5pt" o:allowincell="f" fillcolor="this" stroked="t" strokecolor="#428299" strokeweight="0.5pt">
              <v:stroke joinstyle="round"/>
            </v:line>
          </w:pict>
        </mc:Fallback>
      </mc:AlternateContent>
    </w:r>
    <w:r w:rsidRPr="008F3500">
      <w:rPr>
        <w:rFonts w:ascii="Republika" w:hAnsi="Republika"/>
        <w:lang w:val="sl-SI"/>
      </w:rPr>
      <w:t>REPUBLIKA SLOVENIJA</w:t>
    </w:r>
  </w:p>
  <w:p w14:paraId="21702E2B" w14:textId="77777777" w:rsidR="000B0B21" w:rsidRPr="00FD746A" w:rsidRDefault="00000000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FD746A">
      <w:rPr>
        <w:rFonts w:ascii="Republika" w:hAnsi="Republika"/>
        <w:b/>
        <w:caps/>
        <w:lang w:val="sl-SI"/>
      </w:rPr>
      <w:t>Ministrstvo za finance</w:t>
    </w:r>
  </w:p>
  <w:p w14:paraId="67A7DA7F" w14:textId="77777777" w:rsidR="00ED7E82" w:rsidRDefault="00000000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FINANČNA</w:t>
    </w:r>
    <w:r w:rsidR="00A12D5C">
      <w:rPr>
        <w:rFonts w:ascii="Republika" w:hAnsi="Republika"/>
        <w:caps/>
        <w:lang w:val="sl-SI"/>
      </w:rPr>
      <w:t xml:space="preserve"> uprava Republike Slovenije</w:t>
    </w:r>
  </w:p>
  <w:p w14:paraId="2D7620CA" w14:textId="77777777" w:rsidR="005254D1" w:rsidRPr="00A12D5C" w:rsidRDefault="00000000" w:rsidP="005254D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lang w:val="sl-SI"/>
      </w:rPr>
      <w:t>Generalni finančni urad</w:t>
    </w:r>
  </w:p>
  <w:p w14:paraId="27D4B961" w14:textId="77777777" w:rsidR="005254D1" w:rsidRPr="008F3500" w:rsidRDefault="00000000" w:rsidP="005254D1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Šmartinska cesta 55, p.p. 631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1001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01 478 38 00</w:t>
    </w:r>
  </w:p>
  <w:p w14:paraId="26D88978" w14:textId="77777777" w:rsidR="005254D1" w:rsidRPr="008F3500" w:rsidRDefault="00000000" w:rsidP="005254D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gfu.fu@gov.si</w:t>
    </w:r>
  </w:p>
  <w:p w14:paraId="5C1E8228" w14:textId="77777777" w:rsidR="005254D1" w:rsidRPr="008F3500" w:rsidRDefault="00000000" w:rsidP="005254D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www.fu.gov.si</w:t>
    </w:r>
  </w:p>
  <w:p w14:paraId="19740FE6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0A2"/>
    <w:multiLevelType w:val="hybridMultilevel"/>
    <w:tmpl w:val="ECB6BCF4"/>
    <w:lvl w:ilvl="0" w:tplc="0F9ACD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CEECF2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3808B8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D9C9DD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8E2A3A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32E988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DFCDAF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5E4865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39E1DF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D43CB3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E0E604" w:tentative="1">
      <w:start w:val="1"/>
      <w:numFmt w:val="lowerLetter"/>
      <w:lvlText w:val="%2."/>
      <w:lvlJc w:val="left"/>
      <w:pPr>
        <w:ind w:left="1800" w:hanging="360"/>
      </w:pPr>
    </w:lvl>
    <w:lvl w:ilvl="2" w:tplc="E116CD1C" w:tentative="1">
      <w:start w:val="1"/>
      <w:numFmt w:val="lowerRoman"/>
      <w:lvlText w:val="%3."/>
      <w:lvlJc w:val="right"/>
      <w:pPr>
        <w:ind w:left="2520" w:hanging="180"/>
      </w:pPr>
    </w:lvl>
    <w:lvl w:ilvl="3" w:tplc="2914359A" w:tentative="1">
      <w:start w:val="1"/>
      <w:numFmt w:val="decimal"/>
      <w:lvlText w:val="%4."/>
      <w:lvlJc w:val="left"/>
      <w:pPr>
        <w:ind w:left="3240" w:hanging="360"/>
      </w:pPr>
    </w:lvl>
    <w:lvl w:ilvl="4" w:tplc="A7FCDF80" w:tentative="1">
      <w:start w:val="1"/>
      <w:numFmt w:val="lowerLetter"/>
      <w:lvlText w:val="%5."/>
      <w:lvlJc w:val="left"/>
      <w:pPr>
        <w:ind w:left="3960" w:hanging="360"/>
      </w:pPr>
    </w:lvl>
    <w:lvl w:ilvl="5" w:tplc="B0A6737C" w:tentative="1">
      <w:start w:val="1"/>
      <w:numFmt w:val="lowerRoman"/>
      <w:lvlText w:val="%6."/>
      <w:lvlJc w:val="right"/>
      <w:pPr>
        <w:ind w:left="4680" w:hanging="180"/>
      </w:pPr>
    </w:lvl>
    <w:lvl w:ilvl="6" w:tplc="C06A369E" w:tentative="1">
      <w:start w:val="1"/>
      <w:numFmt w:val="decimal"/>
      <w:lvlText w:val="%7."/>
      <w:lvlJc w:val="left"/>
      <w:pPr>
        <w:ind w:left="5400" w:hanging="360"/>
      </w:pPr>
    </w:lvl>
    <w:lvl w:ilvl="7" w:tplc="BD3E7F54" w:tentative="1">
      <w:start w:val="1"/>
      <w:numFmt w:val="lowerLetter"/>
      <w:lvlText w:val="%8."/>
      <w:lvlJc w:val="left"/>
      <w:pPr>
        <w:ind w:left="6120" w:hanging="360"/>
      </w:pPr>
    </w:lvl>
    <w:lvl w:ilvl="8" w:tplc="5900B7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C4970"/>
    <w:multiLevelType w:val="hybridMultilevel"/>
    <w:tmpl w:val="08D2AF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E634D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E2F89A" w:tentative="1">
      <w:start w:val="1"/>
      <w:numFmt w:val="lowerLetter"/>
      <w:lvlText w:val="%2."/>
      <w:lvlJc w:val="left"/>
      <w:pPr>
        <w:ind w:left="1080" w:hanging="360"/>
      </w:pPr>
    </w:lvl>
    <w:lvl w:ilvl="2" w:tplc="D60C33CA" w:tentative="1">
      <w:start w:val="1"/>
      <w:numFmt w:val="lowerRoman"/>
      <w:lvlText w:val="%3."/>
      <w:lvlJc w:val="right"/>
      <w:pPr>
        <w:ind w:left="1800" w:hanging="180"/>
      </w:pPr>
    </w:lvl>
    <w:lvl w:ilvl="3" w:tplc="2DE04662" w:tentative="1">
      <w:start w:val="1"/>
      <w:numFmt w:val="decimal"/>
      <w:lvlText w:val="%4."/>
      <w:lvlJc w:val="left"/>
      <w:pPr>
        <w:ind w:left="2520" w:hanging="360"/>
      </w:pPr>
    </w:lvl>
    <w:lvl w:ilvl="4" w:tplc="A6B6311C" w:tentative="1">
      <w:start w:val="1"/>
      <w:numFmt w:val="lowerLetter"/>
      <w:lvlText w:val="%5."/>
      <w:lvlJc w:val="left"/>
      <w:pPr>
        <w:ind w:left="3240" w:hanging="360"/>
      </w:pPr>
    </w:lvl>
    <w:lvl w:ilvl="5" w:tplc="7654DDB6" w:tentative="1">
      <w:start w:val="1"/>
      <w:numFmt w:val="lowerRoman"/>
      <w:lvlText w:val="%6."/>
      <w:lvlJc w:val="right"/>
      <w:pPr>
        <w:ind w:left="3960" w:hanging="180"/>
      </w:pPr>
    </w:lvl>
    <w:lvl w:ilvl="6" w:tplc="19A4F7F0" w:tentative="1">
      <w:start w:val="1"/>
      <w:numFmt w:val="decimal"/>
      <w:lvlText w:val="%7."/>
      <w:lvlJc w:val="left"/>
      <w:pPr>
        <w:ind w:left="4680" w:hanging="360"/>
      </w:pPr>
    </w:lvl>
    <w:lvl w:ilvl="7" w:tplc="69E6105C" w:tentative="1">
      <w:start w:val="1"/>
      <w:numFmt w:val="lowerLetter"/>
      <w:lvlText w:val="%8."/>
      <w:lvlJc w:val="left"/>
      <w:pPr>
        <w:ind w:left="5400" w:hanging="360"/>
      </w:pPr>
    </w:lvl>
    <w:lvl w:ilvl="8" w:tplc="0FC668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7A01F9"/>
    <w:multiLevelType w:val="hybridMultilevel"/>
    <w:tmpl w:val="5A7820B8"/>
    <w:lvl w:ilvl="0" w:tplc="70EC9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7F0EC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2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A222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A00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0AA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8C1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8F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F82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6261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4C3B0C"/>
    <w:multiLevelType w:val="hybridMultilevel"/>
    <w:tmpl w:val="0390FC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1C6806"/>
    <w:multiLevelType w:val="hybridMultilevel"/>
    <w:tmpl w:val="4C966548"/>
    <w:lvl w:ilvl="0" w:tplc="986E3D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A4C44"/>
    <w:multiLevelType w:val="hybridMultilevel"/>
    <w:tmpl w:val="092E92F6"/>
    <w:lvl w:ilvl="0" w:tplc="16587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0CA4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6217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02F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3CC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38A9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E8B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C38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88FF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6969133">
    <w:abstractNumId w:val="9"/>
  </w:num>
  <w:num w:numId="2" w16cid:durableId="511383165">
    <w:abstractNumId w:val="5"/>
  </w:num>
  <w:num w:numId="3" w16cid:durableId="1824151929">
    <w:abstractNumId w:val="7"/>
  </w:num>
  <w:num w:numId="4" w16cid:durableId="1102605714">
    <w:abstractNumId w:val="1"/>
  </w:num>
  <w:num w:numId="5" w16cid:durableId="2136556720">
    <w:abstractNumId w:val="3"/>
  </w:num>
  <w:num w:numId="6" w16cid:durableId="50157310">
    <w:abstractNumId w:val="0"/>
  </w:num>
  <w:num w:numId="7" w16cid:durableId="15162685">
    <w:abstractNumId w:val="4"/>
  </w:num>
  <w:num w:numId="8" w16cid:durableId="2096396931">
    <w:abstractNumId w:val="8"/>
  </w:num>
  <w:num w:numId="9" w16cid:durableId="1083452429">
    <w:abstractNumId w:val="6"/>
  </w:num>
  <w:num w:numId="10" w16cid:durableId="1194685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38"/>
    <w:rsid w:val="00005235"/>
    <w:rsid w:val="000063FF"/>
    <w:rsid w:val="000206AE"/>
    <w:rsid w:val="00023A88"/>
    <w:rsid w:val="00036CD3"/>
    <w:rsid w:val="00043383"/>
    <w:rsid w:val="000636E1"/>
    <w:rsid w:val="00080EFD"/>
    <w:rsid w:val="0008352D"/>
    <w:rsid w:val="000A07CE"/>
    <w:rsid w:val="000A2C92"/>
    <w:rsid w:val="000A7238"/>
    <w:rsid w:val="000B0B21"/>
    <w:rsid w:val="000D08A9"/>
    <w:rsid w:val="000D406D"/>
    <w:rsid w:val="000E2F2B"/>
    <w:rsid w:val="000E7875"/>
    <w:rsid w:val="000F3D38"/>
    <w:rsid w:val="00110CBD"/>
    <w:rsid w:val="00112B5D"/>
    <w:rsid w:val="00123D7D"/>
    <w:rsid w:val="00126F14"/>
    <w:rsid w:val="001357B2"/>
    <w:rsid w:val="00143979"/>
    <w:rsid w:val="00144184"/>
    <w:rsid w:val="00151388"/>
    <w:rsid w:val="00151872"/>
    <w:rsid w:val="00157B30"/>
    <w:rsid w:val="00160E5F"/>
    <w:rsid w:val="001747FA"/>
    <w:rsid w:val="0019018D"/>
    <w:rsid w:val="00190354"/>
    <w:rsid w:val="001A3BA5"/>
    <w:rsid w:val="001B7F36"/>
    <w:rsid w:val="001D450B"/>
    <w:rsid w:val="001F3B21"/>
    <w:rsid w:val="001F7BC0"/>
    <w:rsid w:val="00202A77"/>
    <w:rsid w:val="00207DC8"/>
    <w:rsid w:val="00223839"/>
    <w:rsid w:val="00232E47"/>
    <w:rsid w:val="0024583F"/>
    <w:rsid w:val="002528A5"/>
    <w:rsid w:val="00261D80"/>
    <w:rsid w:val="00261D99"/>
    <w:rsid w:val="00262960"/>
    <w:rsid w:val="00264693"/>
    <w:rsid w:val="00271CE5"/>
    <w:rsid w:val="0027529F"/>
    <w:rsid w:val="00282020"/>
    <w:rsid w:val="00282A2F"/>
    <w:rsid w:val="00285890"/>
    <w:rsid w:val="00286208"/>
    <w:rsid w:val="00290A65"/>
    <w:rsid w:val="0029119C"/>
    <w:rsid w:val="002934F1"/>
    <w:rsid w:val="00296D93"/>
    <w:rsid w:val="00297F27"/>
    <w:rsid w:val="002A18F8"/>
    <w:rsid w:val="002A4B44"/>
    <w:rsid w:val="002B58B9"/>
    <w:rsid w:val="002C2136"/>
    <w:rsid w:val="002C5D79"/>
    <w:rsid w:val="002C7EEB"/>
    <w:rsid w:val="002D6D7C"/>
    <w:rsid w:val="002E10B8"/>
    <w:rsid w:val="002F11D2"/>
    <w:rsid w:val="002F1662"/>
    <w:rsid w:val="002F1C9B"/>
    <w:rsid w:val="00304726"/>
    <w:rsid w:val="00315D82"/>
    <w:rsid w:val="00323ED3"/>
    <w:rsid w:val="00337B2B"/>
    <w:rsid w:val="003450A5"/>
    <w:rsid w:val="00352109"/>
    <w:rsid w:val="00361BA4"/>
    <w:rsid w:val="003636BF"/>
    <w:rsid w:val="003656A7"/>
    <w:rsid w:val="00370AA7"/>
    <w:rsid w:val="00371034"/>
    <w:rsid w:val="0037479F"/>
    <w:rsid w:val="00377950"/>
    <w:rsid w:val="003828AD"/>
    <w:rsid w:val="003845B4"/>
    <w:rsid w:val="00387B1A"/>
    <w:rsid w:val="0039148F"/>
    <w:rsid w:val="003A69B2"/>
    <w:rsid w:val="003B5CF4"/>
    <w:rsid w:val="003C28AA"/>
    <w:rsid w:val="003C3B1D"/>
    <w:rsid w:val="003C4450"/>
    <w:rsid w:val="003D0306"/>
    <w:rsid w:val="003E1C74"/>
    <w:rsid w:val="003E5BF0"/>
    <w:rsid w:val="003E7E9E"/>
    <w:rsid w:val="003F1D38"/>
    <w:rsid w:val="003F4966"/>
    <w:rsid w:val="00413815"/>
    <w:rsid w:val="00424FC5"/>
    <w:rsid w:val="00464335"/>
    <w:rsid w:val="00470102"/>
    <w:rsid w:val="00484A06"/>
    <w:rsid w:val="00491D24"/>
    <w:rsid w:val="00496851"/>
    <w:rsid w:val="004A2490"/>
    <w:rsid w:val="004A4233"/>
    <w:rsid w:val="004A6A59"/>
    <w:rsid w:val="004B160E"/>
    <w:rsid w:val="004C7B4D"/>
    <w:rsid w:val="004D6F9A"/>
    <w:rsid w:val="004E3584"/>
    <w:rsid w:val="004E4457"/>
    <w:rsid w:val="004F561D"/>
    <w:rsid w:val="004F6A3E"/>
    <w:rsid w:val="0050296F"/>
    <w:rsid w:val="00514518"/>
    <w:rsid w:val="005149DF"/>
    <w:rsid w:val="005177DF"/>
    <w:rsid w:val="00523561"/>
    <w:rsid w:val="00524A5A"/>
    <w:rsid w:val="005254D1"/>
    <w:rsid w:val="00525C18"/>
    <w:rsid w:val="00526246"/>
    <w:rsid w:val="00532C59"/>
    <w:rsid w:val="00534042"/>
    <w:rsid w:val="0054123B"/>
    <w:rsid w:val="0055206D"/>
    <w:rsid w:val="00567106"/>
    <w:rsid w:val="005709F2"/>
    <w:rsid w:val="005916E5"/>
    <w:rsid w:val="005B0438"/>
    <w:rsid w:val="005B136D"/>
    <w:rsid w:val="005B500C"/>
    <w:rsid w:val="005B6174"/>
    <w:rsid w:val="005C2FCB"/>
    <w:rsid w:val="005D6EBF"/>
    <w:rsid w:val="005E1D3C"/>
    <w:rsid w:val="00612AEB"/>
    <w:rsid w:val="006268BE"/>
    <w:rsid w:val="00632253"/>
    <w:rsid w:val="00637FCE"/>
    <w:rsid w:val="00642714"/>
    <w:rsid w:val="00643C4E"/>
    <w:rsid w:val="006455CE"/>
    <w:rsid w:val="006650D5"/>
    <w:rsid w:val="0066524C"/>
    <w:rsid w:val="00675EFF"/>
    <w:rsid w:val="00683515"/>
    <w:rsid w:val="00693C8B"/>
    <w:rsid w:val="00694B33"/>
    <w:rsid w:val="006B3DEE"/>
    <w:rsid w:val="006B4E61"/>
    <w:rsid w:val="006B5700"/>
    <w:rsid w:val="006C4AE3"/>
    <w:rsid w:val="006D3EDE"/>
    <w:rsid w:val="006D42D9"/>
    <w:rsid w:val="006F142E"/>
    <w:rsid w:val="00720161"/>
    <w:rsid w:val="00726463"/>
    <w:rsid w:val="00727C02"/>
    <w:rsid w:val="00733017"/>
    <w:rsid w:val="00751D38"/>
    <w:rsid w:val="00765EEB"/>
    <w:rsid w:val="00770B90"/>
    <w:rsid w:val="00775FED"/>
    <w:rsid w:val="00780335"/>
    <w:rsid w:val="007830C1"/>
    <w:rsid w:val="00783310"/>
    <w:rsid w:val="007909A4"/>
    <w:rsid w:val="007914FC"/>
    <w:rsid w:val="0079471F"/>
    <w:rsid w:val="00794B95"/>
    <w:rsid w:val="00794E63"/>
    <w:rsid w:val="00794F8D"/>
    <w:rsid w:val="007A4A6D"/>
    <w:rsid w:val="007C2B4B"/>
    <w:rsid w:val="007C3330"/>
    <w:rsid w:val="007C76F4"/>
    <w:rsid w:val="007D05C8"/>
    <w:rsid w:val="007D1BCF"/>
    <w:rsid w:val="007D75CF"/>
    <w:rsid w:val="007D77FC"/>
    <w:rsid w:val="007E6DC5"/>
    <w:rsid w:val="008078F7"/>
    <w:rsid w:val="00814F44"/>
    <w:rsid w:val="008248DA"/>
    <w:rsid w:val="00825B77"/>
    <w:rsid w:val="00835A20"/>
    <w:rsid w:val="00837ABB"/>
    <w:rsid w:val="0084024C"/>
    <w:rsid w:val="008413CB"/>
    <w:rsid w:val="0088043C"/>
    <w:rsid w:val="008906C9"/>
    <w:rsid w:val="008A5918"/>
    <w:rsid w:val="008B2E72"/>
    <w:rsid w:val="008B4CCB"/>
    <w:rsid w:val="008C00F2"/>
    <w:rsid w:val="008C3F28"/>
    <w:rsid w:val="008C5047"/>
    <w:rsid w:val="008C5738"/>
    <w:rsid w:val="008D04F0"/>
    <w:rsid w:val="008D27B7"/>
    <w:rsid w:val="008E1660"/>
    <w:rsid w:val="008E287F"/>
    <w:rsid w:val="008E2D84"/>
    <w:rsid w:val="008E72D2"/>
    <w:rsid w:val="008F3500"/>
    <w:rsid w:val="009022B3"/>
    <w:rsid w:val="00924E3C"/>
    <w:rsid w:val="00925A8B"/>
    <w:rsid w:val="009505BF"/>
    <w:rsid w:val="009612BB"/>
    <w:rsid w:val="009633BF"/>
    <w:rsid w:val="009B0295"/>
    <w:rsid w:val="009B0547"/>
    <w:rsid w:val="009C5340"/>
    <w:rsid w:val="009D06D6"/>
    <w:rsid w:val="009D1E4F"/>
    <w:rsid w:val="009E42F2"/>
    <w:rsid w:val="009F78BF"/>
    <w:rsid w:val="00A05DC7"/>
    <w:rsid w:val="00A125C5"/>
    <w:rsid w:val="00A12D5C"/>
    <w:rsid w:val="00A15443"/>
    <w:rsid w:val="00A16502"/>
    <w:rsid w:val="00A216AF"/>
    <w:rsid w:val="00A3267F"/>
    <w:rsid w:val="00A36906"/>
    <w:rsid w:val="00A45EAF"/>
    <w:rsid w:val="00A5039D"/>
    <w:rsid w:val="00A50E50"/>
    <w:rsid w:val="00A571E4"/>
    <w:rsid w:val="00A65EE7"/>
    <w:rsid w:val="00A70133"/>
    <w:rsid w:val="00A72510"/>
    <w:rsid w:val="00AA47FE"/>
    <w:rsid w:val="00AC05DE"/>
    <w:rsid w:val="00AC163A"/>
    <w:rsid w:val="00AC56FF"/>
    <w:rsid w:val="00AC5C16"/>
    <w:rsid w:val="00AD5A5B"/>
    <w:rsid w:val="00AD6CBB"/>
    <w:rsid w:val="00AE1792"/>
    <w:rsid w:val="00AE2D7F"/>
    <w:rsid w:val="00AF2205"/>
    <w:rsid w:val="00B011EA"/>
    <w:rsid w:val="00B038B1"/>
    <w:rsid w:val="00B17141"/>
    <w:rsid w:val="00B24A2D"/>
    <w:rsid w:val="00B26505"/>
    <w:rsid w:val="00B31575"/>
    <w:rsid w:val="00B62CE5"/>
    <w:rsid w:val="00B63BD4"/>
    <w:rsid w:val="00B653A6"/>
    <w:rsid w:val="00B677B6"/>
    <w:rsid w:val="00B7471A"/>
    <w:rsid w:val="00B81810"/>
    <w:rsid w:val="00B81EE1"/>
    <w:rsid w:val="00B8547D"/>
    <w:rsid w:val="00BA5C34"/>
    <w:rsid w:val="00BC2517"/>
    <w:rsid w:val="00BC61EF"/>
    <w:rsid w:val="00BE423F"/>
    <w:rsid w:val="00BE7016"/>
    <w:rsid w:val="00BF1F3A"/>
    <w:rsid w:val="00BF26E0"/>
    <w:rsid w:val="00BF36A6"/>
    <w:rsid w:val="00BF418B"/>
    <w:rsid w:val="00BF75C5"/>
    <w:rsid w:val="00C05095"/>
    <w:rsid w:val="00C1147E"/>
    <w:rsid w:val="00C1397D"/>
    <w:rsid w:val="00C250D5"/>
    <w:rsid w:val="00C433C6"/>
    <w:rsid w:val="00C47A63"/>
    <w:rsid w:val="00C47F8D"/>
    <w:rsid w:val="00C5171C"/>
    <w:rsid w:val="00C52ABC"/>
    <w:rsid w:val="00C52DAE"/>
    <w:rsid w:val="00C57EED"/>
    <w:rsid w:val="00C60FD9"/>
    <w:rsid w:val="00C71F64"/>
    <w:rsid w:val="00C777B7"/>
    <w:rsid w:val="00C81391"/>
    <w:rsid w:val="00C92898"/>
    <w:rsid w:val="00C97222"/>
    <w:rsid w:val="00CA28CB"/>
    <w:rsid w:val="00CA2931"/>
    <w:rsid w:val="00CA7CD1"/>
    <w:rsid w:val="00CC4409"/>
    <w:rsid w:val="00CD7056"/>
    <w:rsid w:val="00CE7514"/>
    <w:rsid w:val="00D0362E"/>
    <w:rsid w:val="00D162BF"/>
    <w:rsid w:val="00D248DE"/>
    <w:rsid w:val="00D25427"/>
    <w:rsid w:val="00D30600"/>
    <w:rsid w:val="00D31B74"/>
    <w:rsid w:val="00D33E2E"/>
    <w:rsid w:val="00D3564D"/>
    <w:rsid w:val="00D46696"/>
    <w:rsid w:val="00D612C1"/>
    <w:rsid w:val="00D81E81"/>
    <w:rsid w:val="00D82B35"/>
    <w:rsid w:val="00D8542D"/>
    <w:rsid w:val="00D87A2C"/>
    <w:rsid w:val="00D87A5E"/>
    <w:rsid w:val="00DA337D"/>
    <w:rsid w:val="00DB11E1"/>
    <w:rsid w:val="00DB23DD"/>
    <w:rsid w:val="00DB4E6F"/>
    <w:rsid w:val="00DC01E5"/>
    <w:rsid w:val="00DC62F6"/>
    <w:rsid w:val="00DC6A71"/>
    <w:rsid w:val="00DD6CC3"/>
    <w:rsid w:val="00DD710C"/>
    <w:rsid w:val="00DE3FB4"/>
    <w:rsid w:val="00DE5B46"/>
    <w:rsid w:val="00DE657A"/>
    <w:rsid w:val="00DE69A9"/>
    <w:rsid w:val="00E0357D"/>
    <w:rsid w:val="00E20A8F"/>
    <w:rsid w:val="00E22138"/>
    <w:rsid w:val="00E24284"/>
    <w:rsid w:val="00E24EC2"/>
    <w:rsid w:val="00E447E8"/>
    <w:rsid w:val="00E51C0F"/>
    <w:rsid w:val="00E65887"/>
    <w:rsid w:val="00E72E27"/>
    <w:rsid w:val="00E81315"/>
    <w:rsid w:val="00E8201C"/>
    <w:rsid w:val="00E82962"/>
    <w:rsid w:val="00E94ECF"/>
    <w:rsid w:val="00EA0E3C"/>
    <w:rsid w:val="00EA5927"/>
    <w:rsid w:val="00ED00D1"/>
    <w:rsid w:val="00ED27F8"/>
    <w:rsid w:val="00ED7E82"/>
    <w:rsid w:val="00EF3280"/>
    <w:rsid w:val="00EF63CC"/>
    <w:rsid w:val="00F0025B"/>
    <w:rsid w:val="00F02E53"/>
    <w:rsid w:val="00F1126C"/>
    <w:rsid w:val="00F11524"/>
    <w:rsid w:val="00F16745"/>
    <w:rsid w:val="00F240BB"/>
    <w:rsid w:val="00F42CE8"/>
    <w:rsid w:val="00F43C39"/>
    <w:rsid w:val="00F46724"/>
    <w:rsid w:val="00F47F58"/>
    <w:rsid w:val="00F57FED"/>
    <w:rsid w:val="00F62ED4"/>
    <w:rsid w:val="00F642F5"/>
    <w:rsid w:val="00F72377"/>
    <w:rsid w:val="00F831AF"/>
    <w:rsid w:val="00F87F42"/>
    <w:rsid w:val="00F91E94"/>
    <w:rsid w:val="00F94746"/>
    <w:rsid w:val="00FA14CB"/>
    <w:rsid w:val="00FB282F"/>
    <w:rsid w:val="00FC7B20"/>
    <w:rsid w:val="00FD1AC9"/>
    <w:rsid w:val="00FD711C"/>
    <w:rsid w:val="00FD746A"/>
    <w:rsid w:val="00FE5BDB"/>
    <w:rsid w:val="00FE6E1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97DAD8"/>
  <w15:docId w15:val="{5EE8D243-0E36-4C3E-B588-B3615CC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71F64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9E4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E42F2"/>
    <w:rPr>
      <w:rFonts w:ascii="Tahoma" w:hAnsi="Tahoma" w:cs="Tahoma"/>
      <w:sz w:val="16"/>
      <w:szCs w:val="16"/>
      <w:lang w:val="en-US" w:eastAsia="en-US"/>
    </w:rPr>
  </w:style>
  <w:style w:type="paragraph" w:styleId="Golobesedilo">
    <w:name w:val="Plain Text"/>
    <w:basedOn w:val="Navaden"/>
    <w:link w:val="GolobesediloZnak"/>
    <w:rsid w:val="0055206D"/>
    <w:pPr>
      <w:spacing w:after="120" w:line="240" w:lineRule="auto"/>
      <w:ind w:right="-284"/>
      <w:jc w:val="both"/>
    </w:pPr>
    <w:rPr>
      <w:rFonts w:ascii="Courier New" w:hAnsi="Courier New" w:cs="Arial"/>
      <w:szCs w:val="22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rsid w:val="0055206D"/>
    <w:rPr>
      <w:rFonts w:ascii="Courier New" w:hAnsi="Courier New" w:cs="Arial"/>
      <w:szCs w:val="22"/>
    </w:rPr>
  </w:style>
  <w:style w:type="character" w:styleId="Krepko">
    <w:name w:val="Strong"/>
    <w:basedOn w:val="Privzetapisavaodstavka"/>
    <w:uiPriority w:val="22"/>
    <w:qFormat/>
    <w:rsid w:val="0055206D"/>
    <w:rPr>
      <w:b/>
      <w:bCs/>
    </w:rPr>
  </w:style>
  <w:style w:type="table" w:customStyle="1" w:styleId="Tabelamrea1">
    <w:name w:val="Tabela – mreža1"/>
    <w:basedOn w:val="Navadnatabela"/>
    <w:next w:val="Tabelamrea"/>
    <w:uiPriority w:val="39"/>
    <w:rsid w:val="007D77FC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7D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BA5C34"/>
    <w:rPr>
      <w:rFonts w:ascii="Arial" w:hAnsi="Arial"/>
      <w:szCs w:val="24"/>
      <w:lang w:val="en-US" w:eastAsia="en-US"/>
    </w:rPr>
  </w:style>
  <w:style w:type="table" w:customStyle="1" w:styleId="Tabelamrea2">
    <w:name w:val="Tabela – mreža2"/>
    <w:basedOn w:val="Navadnatabela"/>
    <w:next w:val="Tabelamrea"/>
    <w:uiPriority w:val="39"/>
    <w:rsid w:val="00080EF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39"/>
    <w:rsid w:val="00693C8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Navadnatabela"/>
    <w:next w:val="Tabelamrea"/>
    <w:uiPriority w:val="39"/>
    <w:rsid w:val="00693C8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9471F"/>
    <w:pPr>
      <w:ind w:left="720"/>
      <w:contextualSpacing/>
    </w:pPr>
  </w:style>
  <w:style w:type="character" w:styleId="Pripombasklic">
    <w:name w:val="annotation reference"/>
    <w:basedOn w:val="Privzetapisavaodstavka"/>
    <w:semiHidden/>
    <w:unhideWhenUsed/>
    <w:rsid w:val="001D450B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1D450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D450B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450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450B"/>
    <w:rPr>
      <w:rFonts w:ascii="Arial" w:hAnsi="Arial"/>
      <w:b/>
      <w:bCs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70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i\!Odd.%20za%20financiranje\FURS\Informacijska%20tehnologija\Dokumentni%20sistem\Predloge%20dokumentov\GFU%20DT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05129-4493-4762-B20F-94013FFA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 DT1</Template>
  <TotalTime>1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 </vt:lpstr>
    </vt:vector>
  </TitlesOfParts>
  <Company>Davčna Uprava RS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Stojan Boštjančič</dc:creator>
  <cp:lastModifiedBy>Stojan Boštjančič</cp:lastModifiedBy>
  <cp:revision>3</cp:revision>
  <cp:lastPrinted>2025-05-22T11:05:00Z</cp:lastPrinted>
  <dcterms:created xsi:type="dcterms:W3CDTF">2025-12-17T12:52:00Z</dcterms:created>
  <dcterms:modified xsi:type="dcterms:W3CDTF">2025-12-17T12:53:00Z</dcterms:modified>
</cp:coreProperties>
</file>